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6CF96" w14:textId="77777777" w:rsidR="002E6465" w:rsidRDefault="002E6465" w:rsidP="002E6465">
      <w:pPr>
        <w:pStyle w:val="Balk1"/>
        <w:spacing w:before="0" w:line="240" w:lineRule="auto"/>
        <w:ind w:firstLine="0"/>
      </w:pPr>
      <w:bookmarkStart w:id="0" w:name="_GoBack"/>
      <w:bookmarkEnd w:id="0"/>
      <w:r>
        <w:t>EK-1:</w:t>
      </w:r>
      <w:r>
        <w:tab/>
        <w:t>İŞKUR Gençlik Programı Katılımcı Taahhütnamesi</w:t>
      </w:r>
    </w:p>
    <w:p w14:paraId="14369439" w14:textId="4F4D6DDA"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Katıldığınız bu program; Türkiye İş Kurumu Genel Müdürlüğü AYDIN Çalışma ve İş Kurumu İl Müdürlüğü ve yüklenici kurum/kuruluş olarak adlandırılan ADNAN MENDERES ÜNİVERSİTESİ iş birliği ile düzenlenmektedir. Programa katılabilmeniz ve programın başarıyla tamamlanıp amacına ulaşabilmesi için, aşağıdaki hususların tarafınızdan bilinmesi, kabul edilmesi ve bu taahhütnamenin imzalanması gerekmektedir.</w:t>
      </w:r>
    </w:p>
    <w:p w14:paraId="0CE1034F" w14:textId="77777777" w:rsidR="002E6465" w:rsidRDefault="002E6465" w:rsidP="002E6465">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1.</w:t>
      </w:r>
      <w:r>
        <w:rPr>
          <w:rFonts w:ascii="Times New Roman" w:hAnsi="Times New Roman" w:cs="Times New Roman"/>
          <w:sz w:val="24"/>
          <w:szCs w:val="24"/>
        </w:rPr>
        <w:t xml:space="preserve"> İŞKUR Gençlik Programı;</w:t>
      </w:r>
      <w:r>
        <w:t xml:space="preserve"> </w:t>
      </w:r>
      <w:r w:rsidRPr="004E1F0C">
        <w:rPr>
          <w:rFonts w:ascii="Times New Roman" w:hAnsi="Times New Roman" w:cs="Times New Roman"/>
        </w:rPr>
        <w:t>Üniversite</w:t>
      </w:r>
      <w:r>
        <w:t xml:space="preserve"> </w:t>
      </w:r>
      <w:r>
        <w:rPr>
          <w:rFonts w:ascii="Times New Roman" w:hAnsi="Times New Roman" w:cs="Times New Roman"/>
        </w:rPr>
        <w:t>ö</w:t>
      </w:r>
      <w:r>
        <w:rPr>
          <w:rFonts w:ascii="Times New Roman" w:hAnsi="Times New Roman" w:cs="Times New Roman"/>
          <w:sz w:val="24"/>
          <w:szCs w:val="24"/>
        </w:rPr>
        <w:t>ğrencilerinin istihdam edilebilirliğini artıracak bilgi, beceri, çalışma alışkanlığı ve disiplinini kazandırmak üzere Türkiye İş Kurumu tarafından</w:t>
      </w:r>
      <w:r w:rsidRPr="00251838">
        <w:t xml:space="preserve"> </w:t>
      </w:r>
      <w:sdt>
        <w:sdtPr>
          <w:tag w:val="goog_rdk_2"/>
          <w:id w:val="52906053"/>
          <w:showingPlcHdr/>
        </w:sdtPr>
        <w:sdtEndPr/>
        <w:sdtContent>
          <w:r>
            <w:t xml:space="preserve">     </w:t>
          </w:r>
        </w:sdtContent>
      </w:sdt>
      <w:r>
        <w:rPr>
          <w:rFonts w:ascii="Times New Roman" w:eastAsia="Times New Roman" w:hAnsi="Times New Roman" w:cs="Times New Roman"/>
          <w:sz w:val="24"/>
          <w:szCs w:val="24"/>
        </w:rPr>
        <w:t xml:space="preserve">10.12.2003 tarihli ve 25326 sayılı Resmi </w:t>
      </w:r>
      <w:proofErr w:type="spellStart"/>
      <w:r>
        <w:rPr>
          <w:rFonts w:ascii="Times New Roman" w:eastAsia="Times New Roman" w:hAnsi="Times New Roman" w:cs="Times New Roman"/>
          <w:sz w:val="24"/>
          <w:szCs w:val="24"/>
        </w:rPr>
        <w:t>Gazete’de</w:t>
      </w:r>
      <w:proofErr w:type="spellEnd"/>
      <w:r>
        <w:rPr>
          <w:rFonts w:ascii="Times New Roman" w:eastAsia="Times New Roman" w:hAnsi="Times New Roman" w:cs="Times New Roman"/>
          <w:sz w:val="24"/>
          <w:szCs w:val="24"/>
        </w:rPr>
        <w:t xml:space="preserve"> yayımlanan 5018 sayılı Kamu Mali Yönetimi ve Kontrol Kanununun ekli listesinde</w:t>
      </w:r>
      <w:r>
        <w:rPr>
          <w:b/>
        </w:rPr>
        <w:t xml:space="preserve"> </w:t>
      </w:r>
      <w:r>
        <w:rPr>
          <w:rFonts w:ascii="Times New Roman" w:eastAsia="Times New Roman" w:hAnsi="Times New Roman" w:cs="Times New Roman"/>
          <w:sz w:val="24"/>
          <w:szCs w:val="24"/>
        </w:rPr>
        <w:t>yer alan</w:t>
      </w:r>
      <w:r>
        <w:rPr>
          <w:rFonts w:ascii="Times New Roman" w:hAnsi="Times New Roman" w:cs="Times New Roman"/>
          <w:sz w:val="24"/>
          <w:szCs w:val="24"/>
        </w:rPr>
        <w:t xml:space="preserve"> devlet üniversiteleri ile iş birliği yapılarak düzenlenen ve işgücü uyum programı uygulaması olan bir aktif işgücü programıdır.</w:t>
      </w:r>
      <w:proofErr w:type="gramEnd"/>
    </w:p>
    <w:p w14:paraId="2F48B4CF"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Türkiye İş Kurumu, 5510 sayılı Kanunun 5 inci maddesinin birinci fıkrasının (e) bendi kapsamında işyeri ve işveren sayılmaz.</w:t>
      </w:r>
    </w:p>
    <w:p w14:paraId="134D2B24"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Programa katılım şartlarına ilişkin hususlar İşgücü Uyum Programlarının Yürütülmesine İlişkin Usul ve Esaslar Hakkında Yönetmelik, İŞKUR Gençlik Programının Yürütülmesine İlişkin Usul ve Esaslar Hakkında Genelge ve bu Genelgede hüküm bulunmayan haller için İşgücü Uyum Programının Yürütülmesine İlişkin Usul ve Esaslar Hakkında Genelge’nin ilgili maddelerinde sayılmıştır. Bu hususlara ilişkin açıklamalar aşağıda yer almaktadır. Bu kapsamda söz konusu katılım şartlarının programa başvuru tarihinde, programa başlama tarihinde ve program süresince taşınması gerekmektedir. Ancak İşgücü Uyum Programının Yürütülmesine İlişkin Usul ve Esaslar Hakkında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birinci fıkrasının (e) bendinde yer alan şartlardan uzun vadeli sigortalı olmamaya yönelik şartın programa başvuru ve başlama tarihinde, (g) bendinde belirtilen hane gelir şartının ise programa başlama tarihinde sağlanması yeterlidir.</w:t>
      </w:r>
    </w:p>
    <w:p w14:paraId="127CB19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a) Türkiye Cumhuriyeti vatandaşı olmak: Programa başvurduğu tarihte ve program süresince Türkiye Cumhuriyeti Devletine vatandaşlık bağıyla bağlı olmayı ifade eder. 25/9/1981 tarihli ve 2527 sayılı Türk Soylu Yabancıların Türkiye'de Meslek ve Sanatlarını Serbestçe Yapabilmelerine, Kamu, Özel Kuruluş veya İşyerlerinde Çalıştırılabilmelerine İlişkin Kanun hükümleri kapsamında olanlar için Türkiye Cumhuriyeti vatandaşı olma şartı aranmaz.</w:t>
      </w:r>
    </w:p>
    <w:p w14:paraId="54B49E9A"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b) Kuruma kayıtlı olmak: Programa başvurduğu tarihte kişinin Kuruma kayıtlı olmasını ifade eder.</w:t>
      </w:r>
    </w:p>
    <w:p w14:paraId="30356A1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c) 18 yaşını tamamlamış olmak: Programa başvurduğu tarihte kişinin 18 yaşını tamamlayarak 19 yaşından gün almış olmasını ifade eder.</w:t>
      </w:r>
    </w:p>
    <w:p w14:paraId="0C34B128"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ç) Yaşlılık veya malullük aylığı almamak: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kendi sigortalılıkları nedeniyle sosyal güvenlik kanunları çerçevesinde yaşlılık, malullük veya vazife malullüğü aylığı bağlanmamış olmasını ifade eder. Ancak 5510 sayılı Kanunun 19 uncu maddesinin birinci fıkrası kapsamında sürekli iş göremezlik ödeneği alanlar ile ölüm aylığı alanlar programa başvuru yapabilir ve katılımcı olabilir. </w:t>
      </w:r>
    </w:p>
    <w:p w14:paraId="5C7CFE1B"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d) Program talep tarihinden önceki bir yıldan programın fiilen başlayacağı tarihe kadar yüklenicinin veya bağlı, ilgili, ilişkili ve yan kuruluşlarının çalışanı olmamak; Talep Formunun doldurulduğu tarihten önceki bir yıldan programın fiilen başlayacağı tarihe kadarki süre içerisinde yüklenicinin veya bağlı, ilgili, ilişkili ve yan kuruluşlarının çalışanı olmamayı ifade eder.</w:t>
      </w:r>
    </w:p>
    <w:p w14:paraId="422D42F3"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e) Başvuru tarihinden önceki son bir aylık sürede 5510 sayılı Kanunun 4 üncü maddesi kapsamında sigortalı olarak bildirilmemiş olmak veya sigortalı sayılmamak: </w:t>
      </w:r>
      <w:r>
        <w:rPr>
          <w:rFonts w:ascii="Times New Roman" w:hAnsi="Times New Roman" w:cs="Times New Roman"/>
          <w:color w:val="000000"/>
          <w:sz w:val="24"/>
          <w:szCs w:val="24"/>
        </w:rPr>
        <w:t>Kişinin SGK sistemi üzerinden yapılacak</w:t>
      </w:r>
      <w:r>
        <w:rPr>
          <w:rFonts w:ascii="Times New Roman" w:hAnsi="Times New Roman" w:cs="Times New Roman"/>
          <w:sz w:val="24"/>
          <w:szCs w:val="24"/>
        </w:rPr>
        <w:t xml:space="preserve"> sorgulamasında veya belge ile yapılacak kontrollerde başvuru tarihinden önceki son bir aylık sürede sigortalı olmamasını ifade eder. Başvuranın programa </w:t>
      </w:r>
      <w:r>
        <w:rPr>
          <w:rFonts w:ascii="Times New Roman" w:hAnsi="Times New Roman" w:cs="Times New Roman"/>
          <w:sz w:val="24"/>
          <w:szCs w:val="24"/>
        </w:rPr>
        <w:lastRenderedPageBreak/>
        <w:t xml:space="preserve">katılımcı olarak seçilmesi durumunda program başlangıç tarihinde de bu şartı sağlaması gerekmektedir. Yedekten programa eklenecek olanların ise hem başvuru tarihinde hem programa başlama tarihinde bu şartı sağlaması gerekmektedir. Yedek liste dışından programa eklenecek kişiler için bu şartın programa başlama tarihinde sağlanması gerekmektedir. </w:t>
      </w:r>
    </w:p>
    <w:p w14:paraId="5D6E48C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f) Başvuru tarihi itibarıyla 5510 sayılı Kanunun 5 inci maddesi kapsamında sigortalı olarak bildirilmemiş olmak veya sigortalı sayılmamak: Kişinin yalnızca başvuru yaptığı tarihte anılan madde kapsamında sigortalı sayılmamasını ifade eder. Başvuranın programa katılımcı olarak seçilmesi durumunda program başlangıç tarihinde ve program devam süresince bu şartı sağlaması gerekmektedir. Yedekten programa eklenecek olanların ise hem başvuru tarihinde hem programa başlama tarihinde hem de programa devam süresince bu şartı sağlaması gerekmektedir. Yedek liste dışından programa eklenecek kişiler için bu şartın kişinin programa başlama tarihinde ve programa devam süresince sağlaması gerekmektedir. </w:t>
      </w:r>
    </w:p>
    <w:p w14:paraId="6AEA0434"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g) Hane gelir şartını sağlamak: </w:t>
      </w:r>
      <w:r w:rsidRPr="00135526">
        <w:rPr>
          <w:rFonts w:ascii="Times New Roman" w:hAnsi="Times New Roman" w:cs="Times New Roman"/>
          <w:sz w:val="24"/>
          <w:szCs w:val="24"/>
        </w:rPr>
        <w:t xml:space="preserve">Başvuru tarihindeki </w:t>
      </w:r>
      <w:proofErr w:type="spellStart"/>
      <w:r w:rsidRPr="00135526">
        <w:rPr>
          <w:rFonts w:ascii="Times New Roman" w:hAnsi="Times New Roman" w:cs="Times New Roman"/>
          <w:sz w:val="24"/>
          <w:szCs w:val="24"/>
        </w:rPr>
        <w:t>AKS’ye</w:t>
      </w:r>
      <w:proofErr w:type="spellEnd"/>
      <w:r w:rsidRPr="00135526">
        <w:rPr>
          <w:rFonts w:ascii="Times New Roman" w:hAnsi="Times New Roman" w:cs="Times New Roman"/>
          <w:sz w:val="24"/>
          <w:szCs w:val="24"/>
        </w:rPr>
        <w:t xml:space="preserve"> göre aynı adreste ikamet edenlerin, programa başlangıç tarihi dikkate alınarak ulaşılabilen en yakın döneme ait gelir getirici bir işte çalışma sonucu elde ettikleri aylık toplam kazançlarının asgari ücret tespit komisyonu tarafından belirlenen bir aylık asgari ücretin net tutarının üç (3) katını aşması halinde söz konusu adreste ikamet eden öğrenciler programa katılamaz.  Bu şart Genelge’nin 10 uncu maddesinin ikinci fıkrası kapsamında programa eklenecek öğrenciler için de aranır. </w:t>
      </w:r>
      <w:r>
        <w:rPr>
          <w:rFonts w:ascii="Times New Roman" w:hAnsi="Times New Roman" w:cs="Times New Roman"/>
          <w:sz w:val="24"/>
          <w:szCs w:val="24"/>
        </w:rPr>
        <w:t>Yerleşim yeri adresi yurtlar ve sığınma evleri ve benzeri toplu yaşam alanları olanlar ile 8/03/2012 tarihli ve 6284 sayılı Ailenin Korunması ve Kadına Karşı Şiddetin Önlenmesine Dair Kanun kapsamında kimlik bilgileri gizlenenler için hane gelir şartı aranmaz.</w:t>
      </w:r>
    </w:p>
    <w:p w14:paraId="2EB034E7"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ğ) Kurum tarafından sunulan aktif işgücü veya işsizlik sigortası programlarının yararlanıcısı olmamak: Kurum tarafından sunulan aktif veya işsizlik sigortası programlarından yararlananlar programlara başvuru yapamayacağı gibi katılımcı da olamazlar. Programa devam ederken Kurum tarafından sunulan aktif işgücü veya işsizlik sigortası programlarının yararlanıcısı olduğu tespit edilenlerin programdan mazeretsiz nedenle ayrılışı yapılır.</w:t>
      </w:r>
    </w:p>
    <w:p w14:paraId="38EA5F0E"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Hane gelir kontrolü, program başlangıç tarihi itibarıyla ulaşılabilen en yakın dönemdeki belgelendirilebilen gelirler üzerinden kişinin başvuru tarihindeki hanesinde yer alanlar için program başlangıcında bir defa yapılır. Ayrıca yedekten veya yedek listenin bitmesi durumunda yedek liste dışından yapılan eklemelerde kişinin programa eklendiği tarih itibarıyla bir defa yapılır ve bu kontrol, kişinin programa eklenme tarihindeki asgari ücret düzeyi esas alınarak yapılır.</w:t>
      </w:r>
    </w:p>
    <w:p w14:paraId="124D6D76"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Terör örgütlerine veya Devletin millî güvenliğine karşı faaliyette bulunduğuna karar verilen yapı, oluşum veya gruplara üyeliği, mensubiyeti veya </w:t>
      </w:r>
      <w:proofErr w:type="spellStart"/>
      <w:r>
        <w:rPr>
          <w:rFonts w:ascii="Times New Roman" w:hAnsi="Times New Roman" w:cs="Times New Roman"/>
          <w:sz w:val="24"/>
          <w:szCs w:val="24"/>
        </w:rPr>
        <w:t>iltisakı</w:t>
      </w:r>
      <w:proofErr w:type="spellEnd"/>
      <w:r>
        <w:rPr>
          <w:rFonts w:ascii="Times New Roman" w:hAnsi="Times New Roman" w:cs="Times New Roman"/>
          <w:sz w:val="24"/>
          <w:szCs w:val="24"/>
        </w:rPr>
        <w:t xml:space="preserve"> yahut bunlarla irtibatı olan kişiler programa katılamaz. Programa katılıp bu durumu sonradan tespit edilenlerin programdan çıkışı verilir.</w:t>
      </w:r>
    </w:p>
    <w:p w14:paraId="3F6D056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Yönetmelik, İŞKUR Gençlik Programının Yürütülmesine İlişkin Usul ve Esaslar Hakkında Genelge</w:t>
      </w:r>
      <w:r w:rsidDel="008C4B09">
        <w:rPr>
          <w:rFonts w:ascii="Times New Roman" w:hAnsi="Times New Roman" w:cs="Times New Roman"/>
          <w:sz w:val="24"/>
          <w:szCs w:val="24"/>
        </w:rPr>
        <w:t xml:space="preserve"> </w:t>
      </w:r>
      <w:r>
        <w:rPr>
          <w:rFonts w:ascii="Times New Roman" w:hAnsi="Times New Roman" w:cs="Times New Roman"/>
          <w:sz w:val="24"/>
          <w:szCs w:val="24"/>
        </w:rPr>
        <w:t xml:space="preserve">ve İşgücü Uyum Programının Yürütülmesine İlişkin Usul ve Esaslar Hakkında Genelge ile belirlenen uyulmakla yükümlü olunan hususları taşımadığı/ihlal ettiği belirlenen katılımcıların tespit tarihinden itibaren program ile ilişiği kesilerek, Yönetmeliğin 17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maddesinin dördüncü fıkrasına göre haklarında işlem yapılır.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ve Genelgelerin ilgili maddelerinde yer alan başvuru ve katılım şartları ve eklerinde belirlenen diğer tüm şartlara ilişkin bilgi ve belge kontrolünden yüklenici sorumludur. Yönetmeliğin 7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maddesinde yer alan katılım şartları ve ilgili mevzuatta belirlenen diğer tüm şartlara ilişkin bilgi ve belge kontrolünden yüklenici sorumludur. Yüklenici tarafından söz konusu bilgi ve belge kontrol yükümlülüğünün yerine getirilmesi amacıyla katılımcılardan katılım şartlarına yönelik belge talep edilebilir. </w:t>
      </w:r>
    </w:p>
    <w:p w14:paraId="54745F4F"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7</w:t>
      </w:r>
      <w:r>
        <w:rPr>
          <w:rFonts w:ascii="Times New Roman" w:hAnsi="Times New Roman" w:cs="Times New Roman"/>
          <w:sz w:val="24"/>
          <w:szCs w:val="24"/>
        </w:rPr>
        <w:t xml:space="preserve">. Bir katılımcı, Yönetmelik kapsamında düzenlenen programlardan toplamda en fazla 140 fiili gün yararlanabilir. </w:t>
      </w:r>
    </w:p>
    <w:p w14:paraId="0F794A5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Mazeretsiz olarak programdan ayrılanlar,  kendi kusuru nedeniyle ilişiği kesilenler veya yararlandığı program bittikten sonra Kurum tarafından niteliklerine uygun bulunan en az iki iş teklifini mazeretsiz olarak kabul etmeyenler son yararlanma tarihi üzerinden on iki ay geçmedikçe Yönetmelik kapsamında düzenlenen programlardan yararlanamaz. </w:t>
      </w:r>
    </w:p>
    <w:p w14:paraId="3B24DF7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Bir programdan mazeretsiz haller dışında ayrılan kişiler katılım şartlarını sağlamak kaydıyla yeni bir programa başvuru yapabilir veya katılımcı olarak eklenebilir. Bu kişilere yönelik olarak bir bekleme süresi aranmaz.</w:t>
      </w:r>
    </w:p>
    <w:p w14:paraId="109EA4F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Devam ettiği bir programdan mazeretli ya da mazeretsiz ilişiği kesilen katılımcı aynı programa tekrar katılamaz.</w:t>
      </w:r>
    </w:p>
    <w:p w14:paraId="312C4AF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 xml:space="preserve">Sadece aşağıdaki durumlar programdan ayrılma için mazeret sayılacak, bunlar dışındaki ayrılma halleri ya da devamsızlık vb. gibi katılımcının kendi kusuru nedeniyle ilişiğinin kesilmesi halleri mazeret olarak kabul edilmeyecektir. </w:t>
      </w:r>
    </w:p>
    <w:p w14:paraId="0B43A88A"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a) Katılımcının bir işe girdiği gerekçesine dayanarak programdan ayrılmak üzere yazılı talepte bulunması ve bunu belgelendirmesi halinde,  </w:t>
      </w:r>
    </w:p>
    <w:p w14:paraId="3DA5775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b) Sağlık raporu ile belgelenen ve Yönetmelik ile belirlenen izin süresini aşan hastalık hali ile birinci derece yakınlarına ve eşine refakat etmesi halinde,</w:t>
      </w:r>
    </w:p>
    <w:p w14:paraId="0FDF5FAE"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c) Yönetmelik ile belirlenen izin süresini aşacak şekilde programa katılımında sakınca görüldüğünün sağlık raporu ile belgelendirilmesi halinde,</w:t>
      </w:r>
    </w:p>
    <w:p w14:paraId="0766565A"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ç) Programa katılmasının ya da devam etmesinin bedenen veya ruhen uygun olmadığının sağlık raporu ile belgelendirilmesi halinde,</w:t>
      </w:r>
    </w:p>
    <w:p w14:paraId="7C0B80C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d) Yetkili makamlarca verilen belgelerle ispat edilen Yönetmelik ile belirlenen izin süresini aşan gözaltı, tutukluluk ve hükümlülük hallerinde,</w:t>
      </w:r>
    </w:p>
    <w:p w14:paraId="60573F95"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e) Katılımcı olarak belirlendiği bir programda, kişinin Katılımcı Taahhütnamesini imzalamaması halinde,</w:t>
      </w:r>
    </w:p>
    <w:p w14:paraId="0E2F1E75"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f) Yüklenici kurumun bilgisi dahilinde yapılan devamsızlıkların Yönetmelik ile belirlenen izin süresini aşması halinde,</w:t>
      </w:r>
    </w:p>
    <w:p w14:paraId="40B0347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g) Yetkili makamlarca verilen belgelerle ispat edilen iller arası ikametgâh değişikliği halinde,</w:t>
      </w:r>
    </w:p>
    <w:p w14:paraId="42DA6BE9"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 xml:space="preserve">ğ) 25/06/2019 tarihli ve 7179 sayılı </w:t>
      </w:r>
      <w:proofErr w:type="spellStart"/>
      <w:r>
        <w:rPr>
          <w:rFonts w:ascii="Times New Roman" w:hAnsi="Times New Roman" w:cs="Times New Roman"/>
          <w:sz w:val="24"/>
          <w:szCs w:val="24"/>
        </w:rPr>
        <w:t>Askeralma</w:t>
      </w:r>
      <w:proofErr w:type="spellEnd"/>
      <w:r>
        <w:rPr>
          <w:rFonts w:ascii="Times New Roman" w:hAnsi="Times New Roman" w:cs="Times New Roman"/>
          <w:sz w:val="24"/>
          <w:szCs w:val="24"/>
        </w:rPr>
        <w:t xml:space="preserve"> Kanunu kapsamında programdan zorunlu askerlik hizmetini gerçekleştirmek için sevk tarihi itibarıyla ayrılması halinde,</w:t>
      </w:r>
    </w:p>
    <w:p w14:paraId="506AB4F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h) Yetkili makamlarca verilen belgelerle ispat edilen ve Yönetmelik ile belirlenen izin süresini aşacak şekilde katılımcının programa katılımını engelleyen hallerde,</w:t>
      </w:r>
    </w:p>
    <w:p w14:paraId="28AC5F96"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ı) Katılımcının niteliklerinin programa uygun olmadığının yüklenici veya il müdürlüğü tarafından tespit edilmesi halinde.</w:t>
      </w:r>
    </w:p>
    <w:p w14:paraId="77DBD5C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Program bittikten sonra Kurum tarafından teklif edilen ve niteliklerine uygun en az iki işi mazeretsiz olarak kabul etmeyenlerin tespitinde, katılımcıdan sorumlu olan İş ve Meslek Danışmanının yazılı bildirimleri ya da sistem üzerindeki kayıtları esas alınacaktır. Kurum tarafından teklif edilen bir işi kabul eden ya da kendi imkânıyla bir işe girdiği SGK kayıtlarından tespit edilen katılımcılar için iki iş teklifinin süresinin hesaplanması son girmiş olduğu işten sonra yeniden başlar. Teklif edilen işin, kişinin niteliklerine uygun iş sayılması için aşağıdaki kriterleri taşıması gereklidir:</w:t>
      </w:r>
    </w:p>
    <w:p w14:paraId="47A44C44"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a) Kişinin mesleğine, eğitim durumuna, yaşına, cinsiyetine, fizik ve sağlık durumuna uygunluk,</w:t>
      </w:r>
    </w:p>
    <w:p w14:paraId="050EAFF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b) Çalışma koşulları itibarıyla, iş hukukunda belirlenmiş olan hükümlere uygunluk (en az asgari ücret verilmesi, günlük ve/veya haftalık çalışma süresinin aşılmaması, fazla çalışma ücreti, yıllık ücretli izin vb.),</w:t>
      </w:r>
    </w:p>
    <w:p w14:paraId="1F8223E0"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c) Kişinin ikamet ettiği yerin belediye mücavir alanı sınırlarında bir iş olması,</w:t>
      </w:r>
    </w:p>
    <w:p w14:paraId="5EA70D3C"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ç) Teklif edilen işin yapılacağı işyerinden, kişinin 22/5/2003 tarihli ve 4857 sayılı İş Kanununun 24/II maddesinde belirtildiği gibi haklı sebeple ayrılmamış olması.</w:t>
      </w:r>
    </w:p>
    <w:p w14:paraId="49B38DD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p>
    <w:p w14:paraId="085633AD"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Sağlık sorunları, evlenme, doğum ve birinci derece yakınlarının vefatı ve benzeri durumlar da izin süresi kapsamında değerlendirilir. Bu kapsamda kullanılacak izinlerde mazeret durumunun belgelendirilmesi şarttır. Ancak kamu düzenini ve programın sürdürülebilirliğini etkileyecek salgın, olağanüstü hal, seferberlik halleri ve benzeri durumlar nedeniyle yaşanacak devamsızlıkların izin süresi kapsamında değerlendirilip değerlendirilemeyeceğine Genel Müdürlük karar verir. </w:t>
      </w:r>
    </w:p>
    <w:p w14:paraId="6E0925E6"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5510 sayılı Kanuna göre iş kazası ve meslek hastalığı kapsamına giren sağlık sorunları hariç, herhangi bir nedenle Yönetmelik ile belirlenen izin sürelerinin aşılması halinde, yüklenici tarafından katılımcının ilişiği kesilerek İl Müdürlüğüne bildirilir.</w:t>
      </w:r>
    </w:p>
    <w:p w14:paraId="6FFFCF47"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Katılımcıların yüklenicinin bilgi ve onayı olmadan ya da belgeye dayalı mücbir nedenleri olmadan bir gün bile devamsızlık yapmaları durumunda programdan ilişikleri kesilerek il müdürlüğüne bildirilir.</w:t>
      </w:r>
    </w:p>
    <w:p w14:paraId="43BFD832"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Programa katılmaya hak kazanan katılımcının programa başladığı ilk fiili gün katılım sağlamadan ayrılması halinde, herhangi bir ödeme yapılmaz. </w:t>
      </w:r>
    </w:p>
    <w:p w14:paraId="31D5C451"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Her katılımcı devam ettiği günler için Devam Kontrol Çizelgesine imza atmakla yükümlüdür.</w:t>
      </w:r>
    </w:p>
    <w:p w14:paraId="70D91C35"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Kurum tarafından sunulan hizmetlerin geliştirilmesinde katılımcıların da görüşlerinin alınması amacıyla, Kurum’dan alınan hizmetlerle ilgili her türlü </w:t>
      </w:r>
      <w:proofErr w:type="gramStart"/>
      <w:r>
        <w:rPr>
          <w:rFonts w:ascii="Times New Roman" w:hAnsi="Times New Roman" w:cs="Times New Roman"/>
          <w:sz w:val="24"/>
          <w:szCs w:val="24"/>
        </w:rPr>
        <w:t>şikayet</w:t>
      </w:r>
      <w:proofErr w:type="gramEnd"/>
      <w:r>
        <w:rPr>
          <w:rFonts w:ascii="Times New Roman" w:hAnsi="Times New Roman" w:cs="Times New Roman"/>
          <w:sz w:val="24"/>
          <w:szCs w:val="24"/>
        </w:rPr>
        <w:t>, eleştiri ve önerilerin Kurum’a iletilmesi önem arz etmektedir. Ayrıca Kurum personeli ihtiyaç hâlinde katılımcılarla temas kurarak görüşlerini alabilecektir. Bu nedenle Kurum kayıtlarındaki iletişim bilgilerinin katılımcılar tarafından güncel tutulması gerekmektedir.</w:t>
      </w:r>
    </w:p>
    <w:p w14:paraId="541C13B7" w14:textId="77777777" w:rsidR="002E6465" w:rsidRDefault="002E6465" w:rsidP="002E6465">
      <w:pPr>
        <w:jc w:val="both"/>
        <w:rPr>
          <w:rFonts w:ascii="Times New Roman" w:hAnsi="Times New Roman" w:cs="Times New Roman"/>
          <w:sz w:val="24"/>
          <w:szCs w:val="24"/>
        </w:rPr>
      </w:pPr>
      <w:r>
        <w:rPr>
          <w:rFonts w:ascii="Times New Roman" w:hAnsi="Times New Roman" w:cs="Times New Roman"/>
          <w:sz w:val="24"/>
          <w:szCs w:val="24"/>
        </w:rPr>
        <w:t>Yukarıda yer alan hususları ve yürürlükteki mevzuatta yer alan diğer hükümleri okuduğumu ve anladığımı, katılım koşullarını taşıdığımı, programın devamı sırasında belirlenen tüm kurallara uyacağımı, aksi yönde bir tespit olması durumunda da hakkımdaki yaptırımları kabul ettiğimi beyan ederim.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729"/>
        <w:gridCol w:w="1654"/>
        <w:gridCol w:w="2112"/>
      </w:tblGrid>
      <w:tr w:rsidR="002E6465" w14:paraId="5E3E0400"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hideMark/>
          </w:tcPr>
          <w:p w14:paraId="542D3410"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4729" w:type="dxa"/>
            <w:tcBorders>
              <w:top w:val="single" w:sz="4" w:space="0" w:color="auto"/>
              <w:left w:val="single" w:sz="4" w:space="0" w:color="auto"/>
              <w:bottom w:val="single" w:sz="4" w:space="0" w:color="auto"/>
              <w:right w:val="single" w:sz="4" w:space="0" w:color="auto"/>
            </w:tcBorders>
            <w:hideMark/>
          </w:tcPr>
          <w:p w14:paraId="653328D2"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Katılımcının Adı-Soyadı</w:t>
            </w:r>
          </w:p>
        </w:tc>
        <w:tc>
          <w:tcPr>
            <w:tcW w:w="1654" w:type="dxa"/>
            <w:tcBorders>
              <w:top w:val="single" w:sz="4" w:space="0" w:color="auto"/>
              <w:left w:val="single" w:sz="4" w:space="0" w:color="auto"/>
              <w:bottom w:val="single" w:sz="4" w:space="0" w:color="auto"/>
              <w:right w:val="single" w:sz="4" w:space="0" w:color="auto"/>
            </w:tcBorders>
            <w:hideMark/>
          </w:tcPr>
          <w:p w14:paraId="76B1E66A"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Tarih</w:t>
            </w:r>
          </w:p>
        </w:tc>
        <w:tc>
          <w:tcPr>
            <w:tcW w:w="2112" w:type="dxa"/>
            <w:tcBorders>
              <w:top w:val="single" w:sz="4" w:space="0" w:color="auto"/>
              <w:left w:val="single" w:sz="4" w:space="0" w:color="auto"/>
              <w:bottom w:val="single" w:sz="4" w:space="0" w:color="auto"/>
              <w:right w:val="single" w:sz="4" w:space="0" w:color="auto"/>
            </w:tcBorders>
            <w:hideMark/>
          </w:tcPr>
          <w:p w14:paraId="21E16074" w14:textId="77777777" w:rsidR="002E6465" w:rsidRDefault="002E6465" w:rsidP="001C01E1">
            <w:pPr>
              <w:jc w:val="both"/>
              <w:rPr>
                <w:rFonts w:ascii="Times New Roman" w:hAnsi="Times New Roman" w:cs="Times New Roman"/>
                <w:b/>
                <w:sz w:val="24"/>
                <w:szCs w:val="24"/>
              </w:rPr>
            </w:pPr>
            <w:r>
              <w:rPr>
                <w:rFonts w:ascii="Times New Roman" w:hAnsi="Times New Roman" w:cs="Times New Roman"/>
                <w:b/>
                <w:sz w:val="24"/>
                <w:szCs w:val="24"/>
              </w:rPr>
              <w:t xml:space="preserve"> İmza</w:t>
            </w:r>
          </w:p>
        </w:tc>
      </w:tr>
      <w:tr w:rsidR="002E6465" w14:paraId="792E8E50"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C2C673E"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29" w:type="dxa"/>
            <w:tcBorders>
              <w:top w:val="single" w:sz="4" w:space="0" w:color="auto"/>
              <w:left w:val="single" w:sz="4" w:space="0" w:color="auto"/>
              <w:bottom w:val="single" w:sz="4" w:space="0" w:color="auto"/>
              <w:right w:val="single" w:sz="4" w:space="0" w:color="auto"/>
            </w:tcBorders>
            <w:vAlign w:val="center"/>
          </w:tcPr>
          <w:p w14:paraId="1E8176F0"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67BC9E9D" w14:textId="77777777" w:rsidR="002E6465" w:rsidRDefault="002E6465" w:rsidP="001C01E1">
            <w:pPr>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/.…./20…..</w:t>
            </w:r>
          </w:p>
        </w:tc>
        <w:tc>
          <w:tcPr>
            <w:tcW w:w="2112" w:type="dxa"/>
            <w:tcBorders>
              <w:top w:val="single" w:sz="4" w:space="0" w:color="auto"/>
              <w:left w:val="single" w:sz="4" w:space="0" w:color="auto"/>
              <w:bottom w:val="single" w:sz="4" w:space="0" w:color="auto"/>
              <w:right w:val="single" w:sz="4" w:space="0" w:color="auto"/>
            </w:tcBorders>
            <w:vAlign w:val="center"/>
          </w:tcPr>
          <w:p w14:paraId="4A1DED89" w14:textId="77777777" w:rsidR="002E6465" w:rsidRDefault="002E6465" w:rsidP="001C01E1">
            <w:pPr>
              <w:jc w:val="both"/>
              <w:rPr>
                <w:rFonts w:ascii="Times New Roman" w:hAnsi="Times New Roman" w:cs="Times New Roman"/>
                <w:sz w:val="24"/>
                <w:szCs w:val="24"/>
              </w:rPr>
            </w:pPr>
          </w:p>
        </w:tc>
      </w:tr>
      <w:tr w:rsidR="002E6465" w14:paraId="05D11407"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A168256"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4729" w:type="dxa"/>
            <w:tcBorders>
              <w:top w:val="single" w:sz="4" w:space="0" w:color="auto"/>
              <w:left w:val="single" w:sz="4" w:space="0" w:color="auto"/>
              <w:bottom w:val="single" w:sz="4" w:space="0" w:color="auto"/>
              <w:right w:val="single" w:sz="4" w:space="0" w:color="auto"/>
            </w:tcBorders>
            <w:vAlign w:val="center"/>
          </w:tcPr>
          <w:p w14:paraId="1C92C6AE"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45DCC5D8"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419ED7FE" w14:textId="77777777" w:rsidR="002E6465" w:rsidRDefault="002E6465" w:rsidP="001C01E1">
            <w:pPr>
              <w:jc w:val="both"/>
              <w:rPr>
                <w:rFonts w:ascii="Times New Roman" w:hAnsi="Times New Roman" w:cs="Times New Roman"/>
                <w:sz w:val="24"/>
                <w:szCs w:val="24"/>
              </w:rPr>
            </w:pPr>
          </w:p>
        </w:tc>
      </w:tr>
      <w:tr w:rsidR="002E6465" w14:paraId="5DD2FF3C"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40FA0179"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729" w:type="dxa"/>
            <w:tcBorders>
              <w:top w:val="single" w:sz="4" w:space="0" w:color="auto"/>
              <w:left w:val="single" w:sz="4" w:space="0" w:color="auto"/>
              <w:bottom w:val="single" w:sz="4" w:space="0" w:color="auto"/>
              <w:right w:val="single" w:sz="4" w:space="0" w:color="auto"/>
            </w:tcBorders>
            <w:vAlign w:val="center"/>
          </w:tcPr>
          <w:p w14:paraId="521749E2"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27A5584"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A2F90CF" w14:textId="77777777" w:rsidR="002E6465" w:rsidRDefault="002E6465" w:rsidP="001C01E1">
            <w:pPr>
              <w:jc w:val="both"/>
              <w:rPr>
                <w:rFonts w:ascii="Times New Roman" w:hAnsi="Times New Roman" w:cs="Times New Roman"/>
                <w:sz w:val="24"/>
                <w:szCs w:val="24"/>
              </w:rPr>
            </w:pPr>
          </w:p>
        </w:tc>
      </w:tr>
      <w:tr w:rsidR="002E6465" w14:paraId="67CD9340"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029676D2"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729" w:type="dxa"/>
            <w:tcBorders>
              <w:top w:val="single" w:sz="4" w:space="0" w:color="auto"/>
              <w:left w:val="single" w:sz="4" w:space="0" w:color="auto"/>
              <w:bottom w:val="single" w:sz="4" w:space="0" w:color="auto"/>
              <w:right w:val="single" w:sz="4" w:space="0" w:color="auto"/>
            </w:tcBorders>
            <w:vAlign w:val="center"/>
          </w:tcPr>
          <w:p w14:paraId="6158F77B"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D1B156F"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03121573" w14:textId="77777777" w:rsidR="002E6465" w:rsidRDefault="002E6465" w:rsidP="001C01E1">
            <w:pPr>
              <w:jc w:val="both"/>
              <w:rPr>
                <w:rFonts w:ascii="Times New Roman" w:hAnsi="Times New Roman" w:cs="Times New Roman"/>
                <w:sz w:val="24"/>
                <w:szCs w:val="24"/>
              </w:rPr>
            </w:pPr>
          </w:p>
        </w:tc>
      </w:tr>
      <w:tr w:rsidR="002E6465" w14:paraId="3E46DFD6" w14:textId="77777777" w:rsidTr="001C01E1">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5496DA1D" w14:textId="77777777" w:rsidR="002E6465" w:rsidRDefault="002E6465" w:rsidP="001C01E1">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729" w:type="dxa"/>
            <w:tcBorders>
              <w:top w:val="single" w:sz="4" w:space="0" w:color="auto"/>
              <w:left w:val="single" w:sz="4" w:space="0" w:color="auto"/>
              <w:bottom w:val="single" w:sz="4" w:space="0" w:color="auto"/>
              <w:right w:val="single" w:sz="4" w:space="0" w:color="auto"/>
            </w:tcBorders>
            <w:vAlign w:val="center"/>
          </w:tcPr>
          <w:p w14:paraId="3A3A6F8A" w14:textId="77777777" w:rsidR="002E6465" w:rsidRDefault="002E6465" w:rsidP="001C01E1">
            <w:pPr>
              <w:jc w:val="both"/>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ED5D546" w14:textId="77777777" w:rsidR="002E6465" w:rsidRDefault="002E6465" w:rsidP="001C01E1">
            <w:pPr>
              <w:jc w:val="both"/>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vAlign w:val="center"/>
          </w:tcPr>
          <w:p w14:paraId="1C63DDF6" w14:textId="77777777" w:rsidR="002E6465" w:rsidRDefault="002E6465" w:rsidP="001C01E1">
            <w:pPr>
              <w:jc w:val="both"/>
              <w:rPr>
                <w:rFonts w:ascii="Times New Roman" w:hAnsi="Times New Roman" w:cs="Times New Roman"/>
                <w:sz w:val="24"/>
                <w:szCs w:val="24"/>
              </w:rPr>
            </w:pPr>
          </w:p>
        </w:tc>
      </w:tr>
    </w:tbl>
    <w:p w14:paraId="4005FACB" w14:textId="77777777" w:rsidR="002E6465" w:rsidRDefault="002E6465" w:rsidP="002E6465">
      <w:pPr>
        <w:spacing w:after="0"/>
        <w:jc w:val="both"/>
        <w:rPr>
          <w:rFonts w:ascii="Times New Roman" w:hAnsi="Times New Roman" w:cs="Times New Roman"/>
          <w:sz w:val="24"/>
          <w:szCs w:val="24"/>
        </w:rPr>
      </w:pPr>
      <w:r>
        <w:rPr>
          <w:rFonts w:ascii="Times New Roman" w:hAnsi="Times New Roman" w:cs="Times New Roman"/>
          <w:sz w:val="24"/>
          <w:szCs w:val="24"/>
        </w:rPr>
        <w:tab/>
      </w:r>
    </w:p>
    <w:p w14:paraId="407326B9" w14:textId="77777777" w:rsidR="002E6465" w:rsidRDefault="002E6465" w:rsidP="002E6465">
      <w:pPr>
        <w:jc w:val="both"/>
        <w:rPr>
          <w:rFonts w:ascii="Times New Roman" w:hAnsi="Times New Roman" w:cs="Times New Roman"/>
          <w:sz w:val="24"/>
          <w:szCs w:val="24"/>
        </w:rPr>
      </w:pPr>
      <w:r>
        <w:rPr>
          <w:rFonts w:ascii="Times New Roman" w:hAnsi="Times New Roman" w:cs="Times New Roman"/>
          <w:sz w:val="24"/>
          <w:szCs w:val="24"/>
        </w:rPr>
        <w:t>* İhtiyaca göre listedeki satırlar artırılabilir.</w:t>
      </w:r>
      <w:r>
        <w:rPr>
          <w:rFonts w:ascii="Times New Roman" w:hAnsi="Times New Roman" w:cs="Times New Roman"/>
          <w:sz w:val="24"/>
          <w:szCs w:val="24"/>
        </w:rPr>
        <w:tab/>
        <w:t xml:space="preserve"> </w:t>
      </w:r>
    </w:p>
    <w:p w14:paraId="0031398A" w14:textId="77777777" w:rsidR="004F7318" w:rsidRDefault="004F7318"/>
    <w:sectPr w:rsidR="004F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08"/>
    <w:rsid w:val="000C52D9"/>
    <w:rsid w:val="002E6465"/>
    <w:rsid w:val="002F74BC"/>
    <w:rsid w:val="003F57B9"/>
    <w:rsid w:val="004F7318"/>
    <w:rsid w:val="00786F08"/>
    <w:rsid w:val="007A17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4D0B"/>
  <w15:chartTrackingRefBased/>
  <w15:docId w15:val="{FDB05168-D251-47C6-9D1D-72A5867D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65"/>
  </w:style>
  <w:style w:type="paragraph" w:styleId="Balk1">
    <w:name w:val="heading 1"/>
    <w:basedOn w:val="Normal"/>
    <w:next w:val="Normal"/>
    <w:link w:val="Balk1Char"/>
    <w:uiPriority w:val="9"/>
    <w:qFormat/>
    <w:rsid w:val="002E6465"/>
    <w:pPr>
      <w:keepNext/>
      <w:keepLines/>
      <w:spacing w:before="240" w:after="0" w:line="276" w:lineRule="auto"/>
      <w:ind w:firstLine="708"/>
      <w:jc w:val="both"/>
      <w:outlineLvl w:val="0"/>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6465"/>
    <w:rPr>
      <w:rFonts w:ascii="Times New Roman" w:eastAsia="Times New Roman" w:hAnsi="Times New Roman"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Turkiye Is Kurumu</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Mutlu ARIK</dc:creator>
  <cp:keywords/>
  <dc:description/>
  <cp:lastModifiedBy>Aidata</cp:lastModifiedBy>
  <cp:revision>2</cp:revision>
  <dcterms:created xsi:type="dcterms:W3CDTF">2026-02-02T07:32:00Z</dcterms:created>
  <dcterms:modified xsi:type="dcterms:W3CDTF">2026-02-02T07:32:00Z</dcterms:modified>
</cp:coreProperties>
</file>