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9"/>
        <w:gridCol w:w="2696"/>
        <w:gridCol w:w="2411"/>
        <w:gridCol w:w="1844"/>
      </w:tblGrid>
      <w:tr w:rsidR="00185386" w:rsidRPr="00BB2A1F" w:rsidTr="007C40C2">
        <w:trPr>
          <w:trHeight w:val="710"/>
        </w:trPr>
        <w:tc>
          <w:tcPr>
            <w:tcW w:w="2409" w:type="dxa"/>
            <w:vMerge w:val="restart"/>
            <w:tcBorders>
              <w:top w:val="single" w:sz="4" w:space="0" w:color="auto"/>
              <w:left w:val="single" w:sz="4" w:space="0" w:color="auto"/>
              <w:bottom w:val="single" w:sz="4" w:space="0" w:color="auto"/>
              <w:right w:val="single" w:sz="4" w:space="0" w:color="BFBFBF"/>
            </w:tcBorders>
            <w:vAlign w:val="center"/>
            <w:hideMark/>
          </w:tcPr>
          <w:p w:rsidR="00185386" w:rsidRPr="00BB2A1F" w:rsidRDefault="007C40C2" w:rsidP="00BB2A1F">
            <w:pPr>
              <w:tabs>
                <w:tab w:val="left" w:pos="285"/>
                <w:tab w:val="left" w:pos="1530"/>
              </w:tabs>
              <w:spacing w:line="360" w:lineRule="auto"/>
              <w:jc w:val="center"/>
              <w:rPr>
                <w:rFonts w:ascii="Times New Roman" w:hAnsi="Times New Roman" w:cs="Times New Roman"/>
                <w:b/>
                <w:noProof/>
                <w:sz w:val="20"/>
                <w:szCs w:val="20"/>
                <w:lang w:eastAsia="tr-TR"/>
              </w:rPr>
            </w:pPr>
            <w:r w:rsidRPr="007C40C2">
              <w:rPr>
                <w:rFonts w:ascii="Calibri" w:eastAsia="Times New Roman" w:hAnsi="Calibri" w:cs="Times New Roman"/>
                <w:noProof/>
                <w:lang w:eastAsia="tr-TR"/>
              </w:rPr>
              <w:drawing>
                <wp:inline distT="0" distB="0" distL="0" distR="0" wp14:anchorId="2E1C0A96" wp14:editId="04CED897">
                  <wp:extent cx="1428750" cy="1428750"/>
                  <wp:effectExtent l="0" t="0" r="0" b="0"/>
                  <wp:docPr id="1" name="Resim 1"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dın Adnan Menderes Üniversit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696" w:type="dxa"/>
            <w:vMerge w:val="restart"/>
            <w:tcBorders>
              <w:top w:val="single" w:sz="4" w:space="0" w:color="auto"/>
              <w:left w:val="single" w:sz="4" w:space="0" w:color="BFBFBF"/>
              <w:bottom w:val="single" w:sz="4" w:space="0" w:color="auto"/>
              <w:right w:val="single" w:sz="4" w:space="0" w:color="auto"/>
            </w:tcBorders>
            <w:vAlign w:val="center"/>
            <w:hideMark/>
          </w:tcPr>
          <w:p w:rsidR="00185386" w:rsidRPr="00BB2A1F" w:rsidRDefault="00536469" w:rsidP="00BB2A1F">
            <w:pPr>
              <w:spacing w:line="360" w:lineRule="auto"/>
              <w:jc w:val="center"/>
              <w:rPr>
                <w:rFonts w:ascii="Times New Roman" w:hAnsi="Times New Roman" w:cs="Times New Roman"/>
                <w:b/>
                <w:sz w:val="20"/>
                <w:szCs w:val="20"/>
              </w:rPr>
            </w:pPr>
            <w:r w:rsidRPr="00BB2A1F">
              <w:rPr>
                <w:rFonts w:ascii="Times New Roman" w:hAnsi="Times New Roman" w:cs="Times New Roman"/>
                <w:b/>
                <w:sz w:val="20"/>
                <w:szCs w:val="20"/>
              </w:rPr>
              <w:t xml:space="preserve">T.C.                                                           AYDIN ADNAN MENDERES ÜNİVERSİTESİ SAĞLIK BİLİMLERİ FAKÜLTESİ </w:t>
            </w:r>
          </w:p>
        </w:tc>
        <w:tc>
          <w:tcPr>
            <w:tcW w:w="4255" w:type="dxa"/>
            <w:gridSpan w:val="2"/>
            <w:tcBorders>
              <w:top w:val="single" w:sz="4" w:space="0" w:color="auto"/>
              <w:left w:val="single" w:sz="4" w:space="0" w:color="auto"/>
              <w:bottom w:val="single" w:sz="4" w:space="0" w:color="auto"/>
              <w:right w:val="single" w:sz="4" w:space="0" w:color="auto"/>
            </w:tcBorders>
            <w:vAlign w:val="center"/>
            <w:hideMark/>
          </w:tcPr>
          <w:p w:rsidR="00185386" w:rsidRPr="00BB2A1F" w:rsidRDefault="00746F7C" w:rsidP="00BB2A1F">
            <w:pPr>
              <w:spacing w:line="360" w:lineRule="auto"/>
              <w:jc w:val="center"/>
              <w:rPr>
                <w:rFonts w:ascii="Times New Roman" w:hAnsi="Times New Roman" w:cs="Times New Roman"/>
                <w:sz w:val="20"/>
                <w:szCs w:val="20"/>
              </w:rPr>
            </w:pPr>
            <w:r>
              <w:rPr>
                <w:rFonts w:ascii="Times New Roman" w:hAnsi="Times New Roman" w:cs="Times New Roman"/>
                <w:sz w:val="20"/>
                <w:szCs w:val="20"/>
              </w:rPr>
              <w:t>Taşınır Devir Kurulu</w:t>
            </w:r>
          </w:p>
        </w:tc>
      </w:tr>
      <w:tr w:rsidR="00185386" w:rsidRPr="00BB2A1F" w:rsidTr="007C40C2">
        <w:trPr>
          <w:trHeight w:val="284"/>
        </w:trPr>
        <w:tc>
          <w:tcPr>
            <w:tcW w:w="2409" w:type="dxa"/>
            <w:vMerge/>
            <w:tcBorders>
              <w:top w:val="single" w:sz="4" w:space="0" w:color="auto"/>
              <w:left w:val="single" w:sz="4" w:space="0" w:color="auto"/>
              <w:bottom w:val="single" w:sz="4" w:space="0" w:color="auto"/>
              <w:right w:val="single" w:sz="4" w:space="0" w:color="BFBFBF"/>
            </w:tcBorders>
            <w:vAlign w:val="center"/>
            <w:hideMark/>
          </w:tcPr>
          <w:p w:rsidR="00185386" w:rsidRPr="00BB2A1F" w:rsidRDefault="00185386" w:rsidP="00BB2A1F">
            <w:pPr>
              <w:spacing w:after="0" w:line="360" w:lineRule="auto"/>
              <w:rPr>
                <w:rFonts w:ascii="Times New Roman" w:hAnsi="Times New Roman" w:cs="Times New Roman"/>
                <w:b/>
                <w:noProof/>
                <w:sz w:val="20"/>
                <w:szCs w:val="20"/>
                <w:lang w:eastAsia="tr-TR"/>
              </w:rPr>
            </w:pPr>
          </w:p>
        </w:tc>
        <w:tc>
          <w:tcPr>
            <w:tcW w:w="2696" w:type="dxa"/>
            <w:vMerge/>
            <w:tcBorders>
              <w:top w:val="single" w:sz="4" w:space="0" w:color="auto"/>
              <w:left w:val="single" w:sz="4" w:space="0" w:color="BFBFBF"/>
              <w:bottom w:val="single" w:sz="4" w:space="0" w:color="auto"/>
              <w:right w:val="single" w:sz="4" w:space="0" w:color="auto"/>
            </w:tcBorders>
            <w:vAlign w:val="center"/>
            <w:hideMark/>
          </w:tcPr>
          <w:p w:rsidR="00185386" w:rsidRPr="00BB2A1F" w:rsidRDefault="00185386" w:rsidP="00BB2A1F">
            <w:pPr>
              <w:spacing w:after="0" w:line="360" w:lineRule="auto"/>
              <w:rPr>
                <w:rFonts w:ascii="Times New Roman" w:hAnsi="Times New Roman" w:cs="Times New Roman"/>
                <w:b/>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rsidR="00185386" w:rsidRPr="00BB2A1F" w:rsidRDefault="00185386" w:rsidP="00BB2A1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 xml:space="preserve"> İlk Yayın Tarihi</w:t>
            </w:r>
          </w:p>
        </w:tc>
        <w:tc>
          <w:tcPr>
            <w:tcW w:w="1844" w:type="dxa"/>
            <w:tcBorders>
              <w:top w:val="single" w:sz="4" w:space="0" w:color="auto"/>
              <w:left w:val="single" w:sz="4" w:space="0" w:color="auto"/>
              <w:bottom w:val="single" w:sz="4" w:space="0" w:color="auto"/>
              <w:right w:val="single" w:sz="4" w:space="0" w:color="auto"/>
            </w:tcBorders>
            <w:vAlign w:val="center"/>
          </w:tcPr>
          <w:p w:rsidR="00185386" w:rsidRPr="00BB2A1F" w:rsidRDefault="00E3322F" w:rsidP="00BB2A1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16.04.2024</w:t>
            </w:r>
          </w:p>
        </w:tc>
      </w:tr>
      <w:tr w:rsidR="00185386" w:rsidRPr="00BB2A1F" w:rsidTr="007C40C2">
        <w:tc>
          <w:tcPr>
            <w:tcW w:w="2409" w:type="dxa"/>
            <w:vMerge/>
            <w:tcBorders>
              <w:top w:val="single" w:sz="4" w:space="0" w:color="auto"/>
              <w:left w:val="single" w:sz="4" w:space="0" w:color="auto"/>
              <w:bottom w:val="single" w:sz="4" w:space="0" w:color="auto"/>
              <w:right w:val="single" w:sz="4" w:space="0" w:color="BFBFBF"/>
            </w:tcBorders>
            <w:vAlign w:val="center"/>
            <w:hideMark/>
          </w:tcPr>
          <w:p w:rsidR="00185386" w:rsidRPr="00BB2A1F" w:rsidRDefault="00185386" w:rsidP="00BB2A1F">
            <w:pPr>
              <w:spacing w:after="0" w:line="360" w:lineRule="auto"/>
              <w:rPr>
                <w:rFonts w:ascii="Times New Roman" w:hAnsi="Times New Roman" w:cs="Times New Roman"/>
                <w:b/>
                <w:noProof/>
                <w:sz w:val="20"/>
                <w:szCs w:val="20"/>
                <w:lang w:eastAsia="tr-TR"/>
              </w:rPr>
            </w:pPr>
          </w:p>
        </w:tc>
        <w:tc>
          <w:tcPr>
            <w:tcW w:w="2696" w:type="dxa"/>
            <w:vMerge/>
            <w:tcBorders>
              <w:top w:val="single" w:sz="4" w:space="0" w:color="auto"/>
              <w:left w:val="single" w:sz="4" w:space="0" w:color="BFBFBF"/>
              <w:bottom w:val="single" w:sz="4" w:space="0" w:color="auto"/>
              <w:right w:val="single" w:sz="4" w:space="0" w:color="auto"/>
            </w:tcBorders>
            <w:vAlign w:val="center"/>
            <w:hideMark/>
          </w:tcPr>
          <w:p w:rsidR="00185386" w:rsidRPr="00BB2A1F" w:rsidRDefault="00185386" w:rsidP="00BB2A1F">
            <w:pPr>
              <w:spacing w:after="0" w:line="360" w:lineRule="auto"/>
              <w:rPr>
                <w:rFonts w:ascii="Times New Roman" w:hAnsi="Times New Roman" w:cs="Times New Roman"/>
                <w:b/>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rsidR="00185386" w:rsidRPr="00BB2A1F" w:rsidRDefault="00185386" w:rsidP="00BB2A1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Revizyon Tarihi</w:t>
            </w:r>
          </w:p>
        </w:tc>
        <w:tc>
          <w:tcPr>
            <w:tcW w:w="1844" w:type="dxa"/>
            <w:tcBorders>
              <w:top w:val="single" w:sz="4" w:space="0" w:color="auto"/>
              <w:left w:val="single" w:sz="4" w:space="0" w:color="auto"/>
              <w:bottom w:val="single" w:sz="4" w:space="0" w:color="auto"/>
              <w:right w:val="single" w:sz="4" w:space="0" w:color="auto"/>
            </w:tcBorders>
            <w:vAlign w:val="center"/>
          </w:tcPr>
          <w:p w:rsidR="00185386" w:rsidRPr="00BB2A1F" w:rsidRDefault="00185386" w:rsidP="00BB2A1F">
            <w:pPr>
              <w:spacing w:line="360" w:lineRule="auto"/>
              <w:jc w:val="center"/>
              <w:rPr>
                <w:rFonts w:ascii="Times New Roman" w:hAnsi="Times New Roman" w:cs="Times New Roman"/>
                <w:b/>
                <w:sz w:val="20"/>
                <w:szCs w:val="20"/>
              </w:rPr>
            </w:pPr>
          </w:p>
        </w:tc>
      </w:tr>
      <w:tr w:rsidR="00185386" w:rsidRPr="00BB2A1F" w:rsidTr="007C40C2">
        <w:tc>
          <w:tcPr>
            <w:tcW w:w="2409" w:type="dxa"/>
            <w:vMerge/>
            <w:tcBorders>
              <w:top w:val="single" w:sz="4" w:space="0" w:color="auto"/>
              <w:left w:val="single" w:sz="4" w:space="0" w:color="auto"/>
              <w:bottom w:val="single" w:sz="4" w:space="0" w:color="auto"/>
              <w:right w:val="single" w:sz="4" w:space="0" w:color="BFBFBF"/>
            </w:tcBorders>
            <w:vAlign w:val="center"/>
            <w:hideMark/>
          </w:tcPr>
          <w:p w:rsidR="00185386" w:rsidRPr="00BB2A1F" w:rsidRDefault="00185386" w:rsidP="00BB2A1F">
            <w:pPr>
              <w:spacing w:after="0" w:line="360" w:lineRule="auto"/>
              <w:rPr>
                <w:rFonts w:ascii="Times New Roman" w:hAnsi="Times New Roman" w:cs="Times New Roman"/>
                <w:b/>
                <w:noProof/>
                <w:sz w:val="20"/>
                <w:szCs w:val="20"/>
                <w:lang w:eastAsia="tr-TR"/>
              </w:rPr>
            </w:pPr>
          </w:p>
        </w:tc>
        <w:tc>
          <w:tcPr>
            <w:tcW w:w="2696" w:type="dxa"/>
            <w:vMerge/>
            <w:tcBorders>
              <w:top w:val="single" w:sz="4" w:space="0" w:color="auto"/>
              <w:left w:val="single" w:sz="4" w:space="0" w:color="BFBFBF"/>
              <w:bottom w:val="single" w:sz="4" w:space="0" w:color="auto"/>
              <w:right w:val="single" w:sz="4" w:space="0" w:color="auto"/>
            </w:tcBorders>
            <w:vAlign w:val="center"/>
            <w:hideMark/>
          </w:tcPr>
          <w:p w:rsidR="00185386" w:rsidRPr="00BB2A1F" w:rsidRDefault="00185386" w:rsidP="00BB2A1F">
            <w:pPr>
              <w:spacing w:after="0" w:line="360" w:lineRule="auto"/>
              <w:rPr>
                <w:rFonts w:ascii="Times New Roman" w:hAnsi="Times New Roman" w:cs="Times New Roman"/>
                <w:b/>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rsidR="00185386" w:rsidRPr="00BB2A1F" w:rsidRDefault="00185386" w:rsidP="00BB2A1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Revizyon No</w:t>
            </w:r>
          </w:p>
        </w:tc>
        <w:tc>
          <w:tcPr>
            <w:tcW w:w="1844" w:type="dxa"/>
            <w:tcBorders>
              <w:top w:val="single" w:sz="4" w:space="0" w:color="auto"/>
              <w:left w:val="single" w:sz="4" w:space="0" w:color="auto"/>
              <w:bottom w:val="single" w:sz="4" w:space="0" w:color="auto"/>
              <w:right w:val="single" w:sz="4" w:space="0" w:color="auto"/>
            </w:tcBorders>
            <w:vAlign w:val="center"/>
          </w:tcPr>
          <w:p w:rsidR="00185386" w:rsidRPr="00BB2A1F" w:rsidRDefault="00185386" w:rsidP="00BB2A1F">
            <w:pPr>
              <w:spacing w:after="0" w:line="360" w:lineRule="auto"/>
              <w:jc w:val="center"/>
              <w:rPr>
                <w:rFonts w:ascii="Times New Roman" w:hAnsi="Times New Roman" w:cs="Times New Roman"/>
                <w:b/>
                <w:sz w:val="20"/>
                <w:szCs w:val="20"/>
              </w:rPr>
            </w:pPr>
          </w:p>
        </w:tc>
      </w:tr>
      <w:tr w:rsidR="00185386" w:rsidRPr="00BB2A1F" w:rsidTr="007C40C2">
        <w:trPr>
          <w:trHeight w:val="995"/>
        </w:trPr>
        <w:tc>
          <w:tcPr>
            <w:tcW w:w="2409" w:type="dxa"/>
            <w:tcBorders>
              <w:top w:val="single" w:sz="4" w:space="0" w:color="auto"/>
              <w:left w:val="single" w:sz="4" w:space="0" w:color="auto"/>
              <w:bottom w:val="single" w:sz="4" w:space="0" w:color="auto"/>
              <w:right w:val="single" w:sz="4" w:space="0" w:color="auto"/>
            </w:tcBorders>
            <w:hideMark/>
          </w:tcPr>
          <w:p w:rsidR="00185386" w:rsidRPr="00BB2A1F" w:rsidRDefault="00185386" w:rsidP="00BB2A1F">
            <w:pPr>
              <w:spacing w:line="360" w:lineRule="auto"/>
              <w:rPr>
                <w:rFonts w:ascii="Times New Roman" w:hAnsi="Times New Roman" w:cs="Times New Roman"/>
                <w:b/>
                <w:sz w:val="20"/>
                <w:szCs w:val="20"/>
              </w:rPr>
            </w:pPr>
            <w:r w:rsidRPr="00BB2A1F">
              <w:rPr>
                <w:rFonts w:ascii="Times New Roman" w:hAnsi="Times New Roman" w:cs="Times New Roman"/>
                <w:b/>
                <w:sz w:val="20"/>
                <w:szCs w:val="20"/>
              </w:rPr>
              <w:t>Birim Amiri</w:t>
            </w:r>
          </w:p>
        </w:tc>
        <w:tc>
          <w:tcPr>
            <w:tcW w:w="6951" w:type="dxa"/>
            <w:gridSpan w:val="3"/>
            <w:tcBorders>
              <w:top w:val="single" w:sz="4" w:space="0" w:color="auto"/>
              <w:left w:val="single" w:sz="4" w:space="0" w:color="auto"/>
              <w:bottom w:val="single" w:sz="4" w:space="0" w:color="auto"/>
              <w:right w:val="single" w:sz="4" w:space="0" w:color="auto"/>
            </w:tcBorders>
            <w:vAlign w:val="center"/>
            <w:hideMark/>
          </w:tcPr>
          <w:p w:rsidR="00185386" w:rsidRPr="00272EF5" w:rsidRDefault="00185386" w:rsidP="00BB2A1F">
            <w:pPr>
              <w:spacing w:after="0" w:line="360" w:lineRule="auto"/>
              <w:rPr>
                <w:rFonts w:ascii="Times New Roman" w:hAnsi="Times New Roman" w:cs="Times New Roman"/>
                <w:sz w:val="20"/>
                <w:szCs w:val="20"/>
              </w:rPr>
            </w:pPr>
            <w:r w:rsidRPr="00BB2A1F">
              <w:rPr>
                <w:rFonts w:ascii="Times New Roman" w:hAnsi="Times New Roman" w:cs="Times New Roman"/>
                <w:b/>
                <w:sz w:val="20"/>
                <w:szCs w:val="20"/>
              </w:rPr>
              <w:t xml:space="preserve"> </w:t>
            </w:r>
            <w:r w:rsidRPr="00272EF5">
              <w:rPr>
                <w:rFonts w:ascii="Times New Roman" w:hAnsi="Times New Roman" w:cs="Times New Roman"/>
                <w:sz w:val="20"/>
                <w:szCs w:val="20"/>
              </w:rPr>
              <w:t>Dekan</w:t>
            </w:r>
          </w:p>
        </w:tc>
      </w:tr>
      <w:tr w:rsidR="00185386" w:rsidRPr="00135123" w:rsidTr="00BB2A1F">
        <w:tc>
          <w:tcPr>
            <w:tcW w:w="9360" w:type="dxa"/>
            <w:gridSpan w:val="4"/>
            <w:tcBorders>
              <w:top w:val="dotted" w:sz="2" w:space="0" w:color="17365D"/>
              <w:left w:val="single" w:sz="4" w:space="0" w:color="auto"/>
              <w:bottom w:val="dotted" w:sz="2" w:space="0" w:color="17365D"/>
              <w:right w:val="single" w:sz="4" w:space="0" w:color="auto"/>
            </w:tcBorders>
          </w:tcPr>
          <w:p w:rsidR="00746F7C" w:rsidRDefault="00654F08" w:rsidP="00746F7C">
            <w:pPr>
              <w:spacing w:line="360" w:lineRule="auto"/>
              <w:jc w:val="both"/>
              <w:rPr>
                <w:rFonts w:ascii="Times New Roman" w:eastAsia="Times New Roman" w:hAnsi="Times New Roman" w:cs="Times New Roman"/>
                <w:color w:val="000000"/>
                <w:sz w:val="16"/>
                <w:szCs w:val="16"/>
                <w:lang w:eastAsia="tr-TR"/>
              </w:rPr>
            </w:pPr>
            <w:r w:rsidRPr="00135123">
              <w:rPr>
                <w:rFonts w:ascii="Times New Roman" w:hAnsi="Times New Roman" w:cs="Times New Roman"/>
                <w:b/>
                <w:sz w:val="24"/>
                <w:szCs w:val="24"/>
              </w:rPr>
              <w:t>Görevi</w:t>
            </w:r>
            <w:proofErr w:type="gramStart"/>
            <w:r w:rsidRPr="00135123">
              <w:rPr>
                <w:rFonts w:ascii="Times New Roman" w:hAnsi="Times New Roman" w:cs="Times New Roman"/>
                <w:b/>
                <w:sz w:val="24"/>
                <w:szCs w:val="24"/>
              </w:rPr>
              <w:t>:</w:t>
            </w:r>
            <w:r w:rsidR="00354BBC" w:rsidRPr="004C1ADB">
              <w:rPr>
                <w:iCs/>
                <w:sz w:val="20"/>
                <w:szCs w:val="20"/>
              </w:rPr>
              <w:t>,</w:t>
            </w:r>
            <w:proofErr w:type="gramEnd"/>
            <w:r w:rsidR="00354BBC" w:rsidRPr="004C1ADB">
              <w:rPr>
                <w:iCs/>
                <w:sz w:val="20"/>
                <w:szCs w:val="20"/>
              </w:rPr>
              <w:t xml:space="preserve"> </w:t>
            </w:r>
            <w:r w:rsidR="006F2492" w:rsidRPr="00354BBC">
              <w:rPr>
                <w:rFonts w:ascii="Times New Roman" w:hAnsi="Times New Roman" w:cs="Times New Roman"/>
                <w:bCs/>
                <w:iCs/>
                <w:sz w:val="24"/>
                <w:szCs w:val="24"/>
              </w:rPr>
              <w:t xml:space="preserve">Taşınır Mal Yönetmeliği </w:t>
            </w:r>
            <w:r w:rsidR="006F2492">
              <w:rPr>
                <w:rFonts w:ascii="Times New Roman" w:hAnsi="Times New Roman" w:cs="Times New Roman"/>
                <w:bCs/>
                <w:iCs/>
                <w:sz w:val="24"/>
                <w:szCs w:val="24"/>
              </w:rPr>
              <w:t xml:space="preserve">çerçevesinde </w:t>
            </w:r>
            <w:r w:rsidR="007F0A1A">
              <w:rPr>
                <w:rFonts w:ascii="Times New Roman" w:hAnsi="Times New Roman" w:cs="Times New Roman"/>
                <w:bCs/>
                <w:iCs/>
                <w:sz w:val="24"/>
                <w:szCs w:val="24"/>
              </w:rPr>
              <w:t>d</w:t>
            </w:r>
            <w:r w:rsidR="00746F7C" w:rsidRPr="00746F7C">
              <w:rPr>
                <w:rFonts w:ascii="Times New Roman" w:hAnsi="Times New Roman" w:cs="Times New Roman"/>
                <w:sz w:val="24"/>
                <w:szCs w:val="24"/>
              </w:rPr>
              <w:t>evir kurulu, harcama yetkilisi tarafından belirlenen bir kişinin başkanlığında, taşınır kayıt yetkililerinin de katı</w:t>
            </w:r>
            <w:r w:rsidR="007F0A1A">
              <w:rPr>
                <w:rFonts w:ascii="Times New Roman" w:hAnsi="Times New Roman" w:cs="Times New Roman"/>
                <w:sz w:val="24"/>
                <w:szCs w:val="24"/>
              </w:rPr>
              <w:t xml:space="preserve">ldığı, en az üç kişiden oluşur. </w:t>
            </w:r>
            <w:bookmarkStart w:id="0" w:name="_GoBack"/>
            <w:bookmarkEnd w:id="0"/>
            <w:r w:rsidR="00E906CE" w:rsidRPr="00135123">
              <w:rPr>
                <w:rFonts w:ascii="Times New Roman" w:hAnsi="Times New Roman" w:cs="Times New Roman"/>
                <w:sz w:val="24"/>
                <w:szCs w:val="24"/>
              </w:rPr>
              <w:t>4734</w:t>
            </w:r>
            <w:r w:rsidR="00E906CE" w:rsidRPr="00135123">
              <w:rPr>
                <w:rFonts w:ascii="Times New Roman" w:hAnsi="Times New Roman" w:cs="Times New Roman"/>
                <w:b/>
                <w:sz w:val="24"/>
                <w:szCs w:val="24"/>
              </w:rPr>
              <w:t xml:space="preserve"> </w:t>
            </w:r>
            <w:r w:rsidR="00E906CE" w:rsidRPr="00135123">
              <w:rPr>
                <w:rFonts w:ascii="Times New Roman" w:hAnsi="Times New Roman" w:cs="Times New Roman"/>
                <w:sz w:val="24"/>
                <w:szCs w:val="24"/>
              </w:rPr>
              <w:t>sayılı Kamu İhale Kanunu</w:t>
            </w:r>
            <w:r w:rsidR="006F2492">
              <w:rPr>
                <w:rFonts w:ascii="Times New Roman" w:hAnsi="Times New Roman" w:cs="Times New Roman"/>
                <w:sz w:val="24"/>
                <w:szCs w:val="24"/>
              </w:rPr>
              <w:t xml:space="preserve"> ve</w:t>
            </w:r>
            <w:r w:rsidR="00E906CE" w:rsidRPr="00135123">
              <w:rPr>
                <w:rFonts w:ascii="Times New Roman" w:hAnsi="Times New Roman" w:cs="Times New Roman"/>
                <w:sz w:val="24"/>
                <w:szCs w:val="24"/>
              </w:rPr>
              <w:t xml:space="preserve"> </w:t>
            </w:r>
            <w:r w:rsidR="00354BBC" w:rsidRPr="00354BBC">
              <w:rPr>
                <w:rFonts w:ascii="Times New Roman" w:hAnsi="Times New Roman" w:cs="Times New Roman"/>
                <w:bCs/>
                <w:iCs/>
                <w:sz w:val="24"/>
                <w:szCs w:val="24"/>
              </w:rPr>
              <w:t xml:space="preserve">Taşınır Mal Yönetmeliği </w:t>
            </w:r>
            <w:r w:rsidR="006F2492">
              <w:rPr>
                <w:rFonts w:ascii="Times New Roman" w:hAnsi="Times New Roman" w:cs="Times New Roman"/>
                <w:sz w:val="24"/>
                <w:szCs w:val="24"/>
              </w:rPr>
              <w:t>hükümlerine</w:t>
            </w:r>
            <w:r w:rsidR="00354BBC" w:rsidRPr="00135123">
              <w:rPr>
                <w:rFonts w:ascii="Times New Roman" w:hAnsi="Times New Roman" w:cs="Times New Roman"/>
                <w:sz w:val="24"/>
                <w:szCs w:val="24"/>
              </w:rPr>
              <w:t xml:space="preserve"> </w:t>
            </w:r>
            <w:r w:rsidR="00E906CE" w:rsidRPr="00135123">
              <w:rPr>
                <w:rFonts w:ascii="Times New Roman" w:hAnsi="Times New Roman" w:cs="Times New Roman"/>
                <w:sz w:val="24"/>
                <w:szCs w:val="24"/>
              </w:rPr>
              <w:t>göre görev yapmaktadır</w:t>
            </w:r>
            <w:r w:rsidR="00746F7C" w:rsidRPr="00746F7C">
              <w:rPr>
                <w:rFonts w:ascii="Times New Roman" w:eastAsia="Times New Roman" w:hAnsi="Times New Roman" w:cs="Times New Roman"/>
                <w:color w:val="000000"/>
                <w:sz w:val="16"/>
                <w:szCs w:val="16"/>
                <w:lang w:eastAsia="tr-TR"/>
              </w:rPr>
              <w:t xml:space="preserve"> </w:t>
            </w:r>
          </w:p>
          <w:p w:rsidR="00746F7C" w:rsidRDefault="00746F7C" w:rsidP="00746F7C">
            <w:pPr>
              <w:spacing w:line="360" w:lineRule="auto"/>
              <w:jc w:val="both"/>
              <w:rPr>
                <w:rFonts w:ascii="Times New Roman" w:hAnsi="Times New Roman" w:cs="Times New Roman"/>
                <w:sz w:val="24"/>
                <w:szCs w:val="24"/>
              </w:rPr>
            </w:pPr>
            <w:r w:rsidRPr="00135123">
              <w:rPr>
                <w:rFonts w:ascii="Times New Roman" w:hAnsi="Times New Roman" w:cs="Times New Roman"/>
                <w:b/>
                <w:sz w:val="24"/>
                <w:szCs w:val="24"/>
              </w:rPr>
              <w:t>Sorumluluklar:</w:t>
            </w:r>
            <w:r w:rsidRPr="00135123">
              <w:rPr>
                <w:rFonts w:ascii="Times New Roman" w:hAnsi="Times New Roman" w:cs="Times New Roman"/>
                <w:sz w:val="24"/>
                <w:szCs w:val="24"/>
              </w:rPr>
              <w:t xml:space="preserve"> </w:t>
            </w:r>
          </w:p>
          <w:p w:rsidR="00746F7C" w:rsidRPr="00746F7C" w:rsidRDefault="00746F7C" w:rsidP="00746F7C">
            <w:pPr>
              <w:pStyle w:val="ListeParagraf"/>
              <w:numPr>
                <w:ilvl w:val="0"/>
                <w:numId w:val="6"/>
              </w:numPr>
              <w:spacing w:line="360" w:lineRule="auto"/>
              <w:jc w:val="both"/>
              <w:rPr>
                <w:rFonts w:ascii="Times New Roman" w:hAnsi="Times New Roman" w:cs="Times New Roman"/>
                <w:sz w:val="24"/>
                <w:szCs w:val="24"/>
              </w:rPr>
            </w:pPr>
            <w:r w:rsidRPr="00746F7C">
              <w:rPr>
                <w:rFonts w:ascii="Times New Roman" w:hAnsi="Times New Roman" w:cs="Times New Roman"/>
                <w:sz w:val="24"/>
                <w:szCs w:val="24"/>
              </w:rPr>
              <w:t xml:space="preserve">Taşınır kayıt yetkilileri, sorumlulukları altındaki ambarlarda bulunan taşınırları ve bunlara ilişkin kayıt ve belgeleri, yerlerine görevlendirilenlere devretmeden görevlerinden ayrılamazlar. </w:t>
            </w:r>
          </w:p>
          <w:p w:rsidR="00746F7C" w:rsidRPr="00746F7C" w:rsidRDefault="00746F7C" w:rsidP="00746F7C">
            <w:pPr>
              <w:pStyle w:val="ListeParagraf"/>
              <w:numPr>
                <w:ilvl w:val="0"/>
                <w:numId w:val="6"/>
              </w:numPr>
              <w:spacing w:line="360" w:lineRule="auto"/>
              <w:jc w:val="both"/>
              <w:rPr>
                <w:rFonts w:ascii="Times New Roman" w:hAnsi="Times New Roman" w:cs="Times New Roman"/>
                <w:sz w:val="24"/>
                <w:szCs w:val="24"/>
              </w:rPr>
            </w:pPr>
            <w:r w:rsidRPr="00746F7C">
              <w:rPr>
                <w:rFonts w:ascii="Times New Roman" w:hAnsi="Times New Roman" w:cs="Times New Roman"/>
                <w:sz w:val="24"/>
                <w:szCs w:val="24"/>
              </w:rPr>
              <w:t>Yeni görevlendirilen taşınır kayıt yetkilileri de söz konusu kayıt ve belgeleri aramak ve almak zorundadır. </w:t>
            </w:r>
          </w:p>
          <w:p w:rsidR="00746F7C" w:rsidRDefault="00746F7C" w:rsidP="00746F7C">
            <w:pPr>
              <w:pStyle w:val="ListeParagraf"/>
              <w:numPr>
                <w:ilvl w:val="0"/>
                <w:numId w:val="6"/>
              </w:numPr>
              <w:spacing w:line="360" w:lineRule="auto"/>
              <w:jc w:val="both"/>
              <w:rPr>
                <w:rFonts w:ascii="Times New Roman" w:hAnsi="Times New Roman" w:cs="Times New Roman"/>
                <w:sz w:val="24"/>
                <w:szCs w:val="24"/>
              </w:rPr>
            </w:pPr>
            <w:r w:rsidRPr="00746F7C">
              <w:rPr>
                <w:rFonts w:ascii="Times New Roman" w:hAnsi="Times New Roman" w:cs="Times New Roman"/>
                <w:sz w:val="24"/>
                <w:szCs w:val="24"/>
              </w:rPr>
              <w:t xml:space="preserve">Ambarlarındaki taşınırları ve taşınır işlemlerine ilişkin kayıt ve belgeleri teslim etmeyen veya istifa, hastalık, tutuklanma, ölüm gibi nedenlerle devir ve teslim edemeyen taşınır kayıt yetkililerinin sorumluluğundaki taşınırlar ile dayanağı kayıt ve belgeler, devir kurulu aracılığı ile yeni taşınır kayıt yetkilisine devir ve teslim edilir. </w:t>
            </w:r>
          </w:p>
          <w:p w:rsidR="00E3322F" w:rsidRPr="00E3322F" w:rsidRDefault="00E3322F" w:rsidP="00E3322F">
            <w:pPr>
              <w:pStyle w:val="ListeParagraf"/>
              <w:numPr>
                <w:ilvl w:val="0"/>
                <w:numId w:val="6"/>
              </w:numPr>
              <w:spacing w:line="360" w:lineRule="auto"/>
              <w:jc w:val="both"/>
              <w:rPr>
                <w:rFonts w:ascii="Times New Roman" w:hAnsi="Times New Roman" w:cs="Times New Roman"/>
                <w:sz w:val="24"/>
                <w:szCs w:val="24"/>
              </w:rPr>
            </w:pPr>
            <w:r w:rsidRPr="00E3322F">
              <w:rPr>
                <w:rFonts w:ascii="Times New Roman" w:hAnsi="Times New Roman" w:cs="Times New Roman"/>
                <w:sz w:val="24"/>
                <w:szCs w:val="24"/>
              </w:rPr>
              <w:t>Ambarların devri, Ambar Devir ve Teslim Tutanağı düzenlenerek yapılır.</w:t>
            </w:r>
          </w:p>
          <w:p w:rsidR="00E3322F" w:rsidRPr="00E3322F" w:rsidRDefault="00E3322F" w:rsidP="00E3322F">
            <w:pPr>
              <w:pStyle w:val="ListeParagraf"/>
              <w:numPr>
                <w:ilvl w:val="0"/>
                <w:numId w:val="6"/>
              </w:numPr>
              <w:spacing w:line="360" w:lineRule="auto"/>
              <w:jc w:val="both"/>
              <w:rPr>
                <w:rFonts w:ascii="Times New Roman" w:hAnsi="Times New Roman" w:cs="Times New Roman"/>
                <w:sz w:val="24"/>
                <w:szCs w:val="24"/>
              </w:rPr>
            </w:pPr>
            <w:r w:rsidRPr="00E3322F">
              <w:rPr>
                <w:rFonts w:ascii="Times New Roman" w:hAnsi="Times New Roman" w:cs="Times New Roman"/>
                <w:sz w:val="24"/>
                <w:szCs w:val="24"/>
              </w:rPr>
              <w:t>Oda, büro, bölüm, geçit, salon, atölye, garaj ve servis gibi ortak kullanım alanlarında bulunan taşınırlar, buralarda asılı Dayanıklı Taşınırlar Listesinde gösterilen miktarlar esas alınarak sayılmak ve listedeki ilgili bölüm imzalanmak suretiyle yeni sorumluya devir ve teslim edilir.</w:t>
            </w:r>
          </w:p>
          <w:p w:rsidR="00272EF5" w:rsidRPr="00135123" w:rsidRDefault="00E3322F" w:rsidP="00E3322F">
            <w:pPr>
              <w:pStyle w:val="ListeParagraf"/>
              <w:numPr>
                <w:ilvl w:val="0"/>
                <w:numId w:val="6"/>
              </w:numPr>
              <w:spacing w:line="360" w:lineRule="auto"/>
              <w:jc w:val="both"/>
              <w:rPr>
                <w:rFonts w:ascii="Times New Roman" w:hAnsi="Times New Roman" w:cs="Times New Roman"/>
                <w:b/>
                <w:sz w:val="24"/>
                <w:szCs w:val="24"/>
              </w:rPr>
            </w:pPr>
            <w:r w:rsidRPr="00E3322F">
              <w:rPr>
                <w:rFonts w:ascii="Times New Roman" w:hAnsi="Times New Roman" w:cs="Times New Roman"/>
                <w:sz w:val="24"/>
                <w:szCs w:val="24"/>
              </w:rPr>
              <w:t>Taşınır kayıt yetkililerinin geçici görev, aylıksız izin, hastalık izni gibi on günlük süreyi aşmayan geçici ayrılmalarında, harcama yetkilisi tarafından idarenin ihtiyaçları göz önünde bulundurularak gerekli tedbirler alınmak suretiyle ambar kapalı tutulabilir. Bu süre gerektiğinde harcama yetk</w:t>
            </w:r>
            <w:r>
              <w:rPr>
                <w:rFonts w:ascii="Times New Roman" w:hAnsi="Times New Roman" w:cs="Times New Roman"/>
                <w:sz w:val="24"/>
                <w:szCs w:val="24"/>
              </w:rPr>
              <w:t>ilisi tarafından uzatılabilir.</w:t>
            </w:r>
            <w:r w:rsidRPr="00135123">
              <w:rPr>
                <w:rFonts w:ascii="Times New Roman" w:hAnsi="Times New Roman" w:cs="Times New Roman"/>
                <w:b/>
                <w:sz w:val="24"/>
                <w:szCs w:val="24"/>
              </w:rPr>
              <w:t xml:space="preserve"> </w:t>
            </w:r>
          </w:p>
        </w:tc>
      </w:tr>
    </w:tbl>
    <w:p w:rsidR="005D75D2" w:rsidRPr="00135123" w:rsidRDefault="005D75D2" w:rsidP="00135123">
      <w:pPr>
        <w:spacing w:line="360" w:lineRule="auto"/>
        <w:rPr>
          <w:rFonts w:ascii="Times New Roman" w:hAnsi="Times New Roman" w:cs="Times New Roman"/>
          <w:b/>
          <w:sz w:val="24"/>
          <w:szCs w:val="24"/>
        </w:rPr>
      </w:pPr>
    </w:p>
    <w:sectPr w:rsidR="005D75D2" w:rsidRPr="00135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2176"/>
    <w:multiLevelType w:val="hybridMultilevel"/>
    <w:tmpl w:val="D6725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3674B61"/>
    <w:multiLevelType w:val="hybridMultilevel"/>
    <w:tmpl w:val="01345F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FE43A7"/>
    <w:multiLevelType w:val="hybridMultilevel"/>
    <w:tmpl w:val="0804EB9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FB6D27"/>
    <w:multiLevelType w:val="hybridMultilevel"/>
    <w:tmpl w:val="631A5B2C"/>
    <w:lvl w:ilvl="0" w:tplc="04BC1906">
      <w:numFmt w:val="bullet"/>
      <w:lvlText w:val=""/>
      <w:lvlJc w:val="left"/>
      <w:pPr>
        <w:ind w:left="828" w:hanging="360"/>
      </w:pPr>
      <w:rPr>
        <w:rFonts w:ascii="Symbol" w:eastAsia="Symbol" w:hAnsi="Symbol" w:cs="Symbol" w:hint="default"/>
        <w:w w:val="99"/>
        <w:sz w:val="20"/>
        <w:szCs w:val="20"/>
        <w:lang w:val="tr-TR" w:eastAsia="en-US" w:bidi="ar-SA"/>
      </w:rPr>
    </w:lvl>
    <w:lvl w:ilvl="1" w:tplc="4948AE4A">
      <w:numFmt w:val="bullet"/>
      <w:lvlText w:val="•"/>
      <w:lvlJc w:val="left"/>
      <w:pPr>
        <w:ind w:left="1658" w:hanging="360"/>
      </w:pPr>
      <w:rPr>
        <w:lang w:val="tr-TR" w:eastAsia="en-US" w:bidi="ar-SA"/>
      </w:rPr>
    </w:lvl>
    <w:lvl w:ilvl="2" w:tplc="C7CC587E">
      <w:numFmt w:val="bullet"/>
      <w:lvlText w:val="•"/>
      <w:lvlJc w:val="left"/>
      <w:pPr>
        <w:ind w:left="2496" w:hanging="360"/>
      </w:pPr>
      <w:rPr>
        <w:lang w:val="tr-TR" w:eastAsia="en-US" w:bidi="ar-SA"/>
      </w:rPr>
    </w:lvl>
    <w:lvl w:ilvl="3" w:tplc="43A6B606">
      <w:numFmt w:val="bullet"/>
      <w:lvlText w:val="•"/>
      <w:lvlJc w:val="left"/>
      <w:pPr>
        <w:ind w:left="3334" w:hanging="360"/>
      </w:pPr>
      <w:rPr>
        <w:lang w:val="tr-TR" w:eastAsia="en-US" w:bidi="ar-SA"/>
      </w:rPr>
    </w:lvl>
    <w:lvl w:ilvl="4" w:tplc="B1D25552">
      <w:numFmt w:val="bullet"/>
      <w:lvlText w:val="•"/>
      <w:lvlJc w:val="left"/>
      <w:pPr>
        <w:ind w:left="4173" w:hanging="360"/>
      </w:pPr>
      <w:rPr>
        <w:lang w:val="tr-TR" w:eastAsia="en-US" w:bidi="ar-SA"/>
      </w:rPr>
    </w:lvl>
    <w:lvl w:ilvl="5" w:tplc="91A4AD12">
      <w:numFmt w:val="bullet"/>
      <w:lvlText w:val="•"/>
      <w:lvlJc w:val="left"/>
      <w:pPr>
        <w:ind w:left="5011" w:hanging="360"/>
      </w:pPr>
      <w:rPr>
        <w:lang w:val="tr-TR" w:eastAsia="en-US" w:bidi="ar-SA"/>
      </w:rPr>
    </w:lvl>
    <w:lvl w:ilvl="6" w:tplc="2F3A2B84">
      <w:numFmt w:val="bullet"/>
      <w:lvlText w:val="•"/>
      <w:lvlJc w:val="left"/>
      <w:pPr>
        <w:ind w:left="5849" w:hanging="360"/>
      </w:pPr>
      <w:rPr>
        <w:lang w:val="tr-TR" w:eastAsia="en-US" w:bidi="ar-SA"/>
      </w:rPr>
    </w:lvl>
    <w:lvl w:ilvl="7" w:tplc="E732FA0E">
      <w:numFmt w:val="bullet"/>
      <w:lvlText w:val="•"/>
      <w:lvlJc w:val="left"/>
      <w:pPr>
        <w:ind w:left="6688" w:hanging="360"/>
      </w:pPr>
      <w:rPr>
        <w:lang w:val="tr-TR" w:eastAsia="en-US" w:bidi="ar-SA"/>
      </w:rPr>
    </w:lvl>
    <w:lvl w:ilvl="8" w:tplc="9DD6BBA4">
      <w:numFmt w:val="bullet"/>
      <w:lvlText w:val="•"/>
      <w:lvlJc w:val="left"/>
      <w:pPr>
        <w:ind w:left="7526" w:hanging="360"/>
      </w:pPr>
      <w:rPr>
        <w:lang w:val="tr-TR" w:eastAsia="en-US" w:bidi="ar-SA"/>
      </w:rPr>
    </w:lvl>
  </w:abstractNum>
  <w:abstractNum w:abstractNumId="4" w15:restartNumberingAfterBreak="0">
    <w:nsid w:val="79DA5FCE"/>
    <w:multiLevelType w:val="hybridMultilevel"/>
    <w:tmpl w:val="5F7A30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ADF008A"/>
    <w:multiLevelType w:val="hybridMultilevel"/>
    <w:tmpl w:val="539E32C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82"/>
    <w:rsid w:val="00100051"/>
    <w:rsid w:val="00135123"/>
    <w:rsid w:val="00185386"/>
    <w:rsid w:val="00272EF5"/>
    <w:rsid w:val="002B2FE7"/>
    <w:rsid w:val="00344F7A"/>
    <w:rsid w:val="00354BBC"/>
    <w:rsid w:val="003A24FB"/>
    <w:rsid w:val="00536469"/>
    <w:rsid w:val="005D75D2"/>
    <w:rsid w:val="00654F08"/>
    <w:rsid w:val="006F2492"/>
    <w:rsid w:val="00746F7C"/>
    <w:rsid w:val="007C40C2"/>
    <w:rsid w:val="007F0A1A"/>
    <w:rsid w:val="0081072B"/>
    <w:rsid w:val="00960DF6"/>
    <w:rsid w:val="00BB2A1F"/>
    <w:rsid w:val="00BC764D"/>
    <w:rsid w:val="00E3322F"/>
    <w:rsid w:val="00E906CE"/>
    <w:rsid w:val="00FA7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126B"/>
  <w15:chartTrackingRefBased/>
  <w15:docId w15:val="{1E21147F-EA39-4811-89C0-34CAA63B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86"/>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5386"/>
    <w:pPr>
      <w:ind w:left="720"/>
      <w:contextualSpacing/>
    </w:pPr>
  </w:style>
  <w:style w:type="character" w:customStyle="1" w:styleId="stbilgiChar">
    <w:name w:val="Üstbilgi Char"/>
    <w:basedOn w:val="VarsaylanParagrafYazTipi"/>
    <w:uiPriority w:val="99"/>
    <w:rsid w:val="00536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99613">
      <w:bodyDiv w:val="1"/>
      <w:marLeft w:val="0"/>
      <w:marRight w:val="0"/>
      <w:marTop w:val="0"/>
      <w:marBottom w:val="0"/>
      <w:divBdr>
        <w:top w:val="none" w:sz="0" w:space="0" w:color="auto"/>
        <w:left w:val="none" w:sz="0" w:space="0" w:color="auto"/>
        <w:bottom w:val="none" w:sz="0" w:space="0" w:color="auto"/>
        <w:right w:val="none" w:sz="0" w:space="0" w:color="auto"/>
      </w:divBdr>
    </w:div>
    <w:div w:id="1117484368">
      <w:bodyDiv w:val="1"/>
      <w:marLeft w:val="0"/>
      <w:marRight w:val="0"/>
      <w:marTop w:val="0"/>
      <w:marBottom w:val="0"/>
      <w:divBdr>
        <w:top w:val="none" w:sz="0" w:space="0" w:color="auto"/>
        <w:left w:val="none" w:sz="0" w:space="0" w:color="auto"/>
        <w:bottom w:val="none" w:sz="0" w:space="0" w:color="auto"/>
        <w:right w:val="none" w:sz="0" w:space="0" w:color="auto"/>
      </w:divBdr>
    </w:div>
    <w:div w:id="15582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cp:keywords/>
  <dc:description/>
  <cp:lastModifiedBy>AsusPro</cp:lastModifiedBy>
  <cp:revision>3</cp:revision>
  <dcterms:created xsi:type="dcterms:W3CDTF">2024-04-18T12:25:00Z</dcterms:created>
  <dcterms:modified xsi:type="dcterms:W3CDTF">2024-04-18T12:31:00Z</dcterms:modified>
</cp:coreProperties>
</file>