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26EA7" w:rsidRPr="00EA04AC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EA04AC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1261C49" wp14:editId="5E182244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3408E6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3408E6" w:rsidRDefault="00F26EA7" w:rsidP="00D96BE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F26EA7" w:rsidRPr="003408E6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12D5">
              <w:rPr>
                <w:rFonts w:ascii="Times New Roman" w:hAnsi="Times New Roman" w:cs="Times New Roman"/>
                <w:b/>
                <w:sz w:val="24"/>
                <w:szCs w:val="24"/>
              </w:rPr>
              <w:t>HF 97</w:t>
            </w:r>
          </w:p>
        </w:tc>
      </w:tr>
      <w:tr w:rsidR="00F26EA7" w:rsidRPr="00EA04AC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3408E6" w:rsidRDefault="003A12D5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</w:tr>
      <w:tr w:rsidR="00F26EA7" w:rsidRPr="00EA04AC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26EA7" w:rsidRPr="00A940DA" w:rsidRDefault="00F26EA7" w:rsidP="00A940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A940DA" w:rsidRPr="00A9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Aydın Adnan Menderes Üniversitesi Hemşirelik Fakültesi </w:t>
            </w:r>
            <w:bookmarkStart w:id="0" w:name="_GoBack"/>
            <w:r w:rsidR="00A940DA" w:rsidRPr="00A9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Laboratuvar Kullanım Yönergesi</w:t>
            </w:r>
            <w:bookmarkEnd w:id="0"/>
          </w:p>
        </w:tc>
      </w:tr>
      <w:tr w:rsidR="00F26EA7" w:rsidRPr="00EE62F1" w:rsidTr="00D96BE4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F26EA7" w:rsidRPr="002A4593" w:rsidRDefault="00F26EA7" w:rsidP="00D96BE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940DA" w:rsidRPr="002A4593" w:rsidRDefault="00A940DA" w:rsidP="00A940DA">
            <w:pPr>
              <w:spacing w:line="360" w:lineRule="auto"/>
              <w:ind w:right="81" w:firstLine="147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14:ligatures w14:val="standardContextual"/>
              </w:rPr>
              <w:t>BİRİNCİ BÖLÜM</w:t>
            </w:r>
          </w:p>
          <w:p w:rsidR="00A940DA" w:rsidRPr="002A4593" w:rsidRDefault="00A940DA" w:rsidP="00A940DA">
            <w:pPr>
              <w:spacing w:line="360" w:lineRule="auto"/>
              <w:ind w:right="81" w:firstLine="147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14:ligatures w14:val="standardContextual"/>
              </w:rPr>
              <w:t>AMAÇ, KAPSAM, DAYANAK VE TANIMLAR</w:t>
            </w:r>
          </w:p>
          <w:p w:rsidR="00A940DA" w:rsidRPr="002A4593" w:rsidRDefault="00A940DA" w:rsidP="00A940DA">
            <w:pPr>
              <w:spacing w:after="0" w:line="240" w:lineRule="auto"/>
              <w:ind w:right="81" w:firstLine="147"/>
              <w:rPr>
                <w:rFonts w:ascii="Times New Roman" w:eastAsia="Calibri" w:hAnsi="Times New Roman" w:cs="Times New Roman"/>
                <w:b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kern w:val="2"/>
                <w14:ligatures w14:val="standardContextual"/>
              </w:rPr>
              <w:t>Amaç ve Kapsam</w:t>
            </w:r>
          </w:p>
          <w:p w:rsidR="00A940DA" w:rsidRPr="002A4593" w:rsidRDefault="00A940DA" w:rsidP="00A940DA">
            <w:pPr>
              <w:spacing w:after="0" w:line="240" w:lineRule="auto"/>
              <w:ind w:right="81" w:firstLine="147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  <w:p w:rsidR="00A940DA" w:rsidRPr="002A4593" w:rsidRDefault="00A940DA" w:rsidP="00A940DA">
            <w:pPr>
              <w:spacing w:line="360" w:lineRule="auto"/>
              <w:ind w:right="81" w:firstLine="147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Madde 1: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Bu yönerge Aydın Adnan Menderes Üniversitesi Hemşirelik Fakültesi’nin li</w:t>
            </w:r>
            <w:r w:rsidR="00CE60BE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sans programında yer </w:t>
            </w:r>
            <w:r w:rsidR="00CE60BE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alan </w:t>
            </w:r>
            <w:r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derslerin laboratuvar 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uygulamalarının planlanması</w:t>
            </w:r>
            <w:r w:rsidR="00DE79E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ve yürütülmesi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ne ilişkin öğretim elemanlarının ve öğrencilerin görev ve sorumlulukları ile uymaları gereken ilke ve kuralları kapsar. </w:t>
            </w:r>
          </w:p>
          <w:p w:rsidR="00A940DA" w:rsidRPr="0013693B" w:rsidRDefault="00A940DA" w:rsidP="00A940DA">
            <w:pPr>
              <w:spacing w:line="360" w:lineRule="auto"/>
              <w:ind w:right="81" w:firstLine="147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Madde 2: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Aydın Adnan Menderes Üniversitesi Hemşirelik Fakültesi öğretim elemanları ve öğrencileri laboratuvar uygulamaları</w:t>
            </w:r>
            <w:r w:rsidR="00A316E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nı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(zorunlu ve serbest çalışma</w:t>
            </w:r>
            <w:r w:rsidR="00A316E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gramStart"/>
            <w:r w:rsidR="00A316E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dahil</w:t>
            </w:r>
            <w:proofErr w:type="gramEnd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) bu yönergede yer alan esaslara </w:t>
            </w:r>
            <w:r w:rsidR="001765DA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göre </w:t>
            </w:r>
            <w:r w:rsidR="00A316E9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gerçekleştirir.</w:t>
            </w:r>
          </w:p>
          <w:p w:rsidR="00A940DA" w:rsidRPr="002A4593" w:rsidRDefault="00A940DA" w:rsidP="00A940DA">
            <w:pPr>
              <w:spacing w:line="360" w:lineRule="auto"/>
              <w:ind w:right="81" w:firstLine="14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Hukuki Dayanak </w:t>
            </w:r>
          </w:p>
          <w:p w:rsidR="00A940DA" w:rsidRPr="002A4593" w:rsidRDefault="00A940DA" w:rsidP="00A940DA">
            <w:pPr>
              <w:spacing w:line="360" w:lineRule="auto"/>
              <w:ind w:right="81" w:firstLine="147"/>
              <w:jc w:val="both"/>
              <w:rPr>
                <w:rFonts w:ascii="Times New Roman" w:eastAsia="Calibri" w:hAnsi="Times New Roman" w:cs="Times New Roman"/>
                <w:color w:val="0070C0"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Madde 4: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Bu yönerge, 13/07/2018 tarihinde Aydın Adnan Menderes Üniversitesi Lisans Eğitim-Öğretim Yönetmeliği </w:t>
            </w:r>
            <w:r w:rsidR="001765D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ile </w:t>
            </w:r>
            <w:r w:rsidR="0013693B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Aydın Adnan Menderes Üniversitesi </w:t>
            </w:r>
            <w:r w:rsidR="001765DA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Hemşirelik Fakültesi Eğitim Yönergesi 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esas alınarak hazırlanmıştır. </w:t>
            </w:r>
          </w:p>
          <w:p w:rsidR="00A940DA" w:rsidRPr="002A4593" w:rsidRDefault="00A940DA" w:rsidP="00A940DA">
            <w:pPr>
              <w:spacing w:line="360" w:lineRule="auto"/>
              <w:ind w:right="81" w:firstLine="14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Tanımlar</w:t>
            </w:r>
          </w:p>
          <w:p w:rsidR="002A4593" w:rsidRDefault="00A940DA" w:rsidP="002A4593">
            <w:pPr>
              <w:spacing w:line="360" w:lineRule="auto"/>
              <w:ind w:right="81" w:firstLine="147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Madde 5: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Bu yönergede geçen; </w:t>
            </w:r>
          </w:p>
          <w:p w:rsidR="00AF274C" w:rsidRPr="002A4593" w:rsidRDefault="00A940DA" w:rsidP="002A4593">
            <w:pPr>
              <w:pStyle w:val="ListeParagraf"/>
              <w:numPr>
                <w:ilvl w:val="0"/>
                <w:numId w:val="6"/>
              </w:numPr>
              <w:spacing w:line="360" w:lineRule="auto"/>
              <w:ind w:right="81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Dekanlık: 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Hemşirelik Fakültesi Dekanlığını,</w:t>
            </w:r>
          </w:p>
          <w:p w:rsidR="00AF274C" w:rsidRPr="002A4593" w:rsidRDefault="00A940DA" w:rsidP="00AF274C">
            <w:pPr>
              <w:pStyle w:val="ListeParagraf"/>
              <w:numPr>
                <w:ilvl w:val="0"/>
                <w:numId w:val="6"/>
              </w:numPr>
              <w:spacing w:line="360" w:lineRule="auto"/>
              <w:ind w:right="81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Anabilim Dalı Başkanı: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Hemşirelik Fakültesi Anabilim Dalı Başkanlarını, </w:t>
            </w:r>
          </w:p>
          <w:p w:rsidR="002A4593" w:rsidRPr="0013693B" w:rsidRDefault="00A940DA" w:rsidP="00BB5672">
            <w:pPr>
              <w:pStyle w:val="ListeParagraf"/>
              <w:numPr>
                <w:ilvl w:val="0"/>
                <w:numId w:val="6"/>
              </w:numPr>
              <w:spacing w:line="360" w:lineRule="auto"/>
              <w:ind w:right="81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13693B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Laboratuvar uygulaması: </w:t>
            </w:r>
            <w:r w:rsidR="00DB19E8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Bir eğitim öğretim yılının </w:t>
            </w:r>
            <w:r w:rsidR="000A7EF0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güz ve bahar yarıyılında</w:t>
            </w:r>
            <w:r w:rsidR="00DB19E8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 </w:t>
            </w:r>
            <w:r w:rsidR="00BB5672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açılan </w:t>
            </w:r>
            <w:r w:rsidR="001765DA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uygulamalı</w:t>
            </w:r>
            <w:r w:rsidR="00BB5672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dersler</w:t>
            </w:r>
            <w:r w:rsidR="000A7EF0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in hedeflerine yönelik öğrenciye</w:t>
            </w:r>
            <w:r w:rsidR="00BB5672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r w:rsidR="000A7EF0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bilgi, beceri ve tutum kazandırılması amacıyla gerçekleştirilen uygulamaları</w:t>
            </w:r>
            <w:r w:rsidR="00BB5672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,</w:t>
            </w:r>
          </w:p>
          <w:p w:rsidR="00AF274C" w:rsidRPr="002A4593" w:rsidRDefault="00A940DA" w:rsidP="00AF274C">
            <w:pPr>
              <w:pStyle w:val="ListeParagraf"/>
              <w:numPr>
                <w:ilvl w:val="0"/>
                <w:numId w:val="6"/>
              </w:numPr>
              <w:spacing w:line="360" w:lineRule="auto"/>
              <w:ind w:right="81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Serbest </w:t>
            </w:r>
            <w:r w:rsidR="00061A0B" w:rsidRPr="0013693B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çalışma</w:t>
            </w: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="005022A2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saati</w:t>
            </w: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: 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Zorunlu ders saatleri dışında laboratuvar ortamının kullanılabileceği tarih ve saatleri,</w:t>
            </w:r>
          </w:p>
          <w:p w:rsidR="00AF274C" w:rsidRPr="002A4593" w:rsidRDefault="00A940DA" w:rsidP="00AF274C">
            <w:pPr>
              <w:pStyle w:val="ListeParagraf"/>
              <w:numPr>
                <w:ilvl w:val="0"/>
                <w:numId w:val="6"/>
              </w:numPr>
              <w:spacing w:line="360" w:lineRule="auto"/>
              <w:ind w:right="81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Koordinatörlük: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Laboratuvar Koordinatörlüğünü, </w:t>
            </w:r>
          </w:p>
          <w:p w:rsidR="00AF274C" w:rsidRPr="00352882" w:rsidRDefault="00A940DA" w:rsidP="00AF274C">
            <w:pPr>
              <w:pStyle w:val="ListeParagraf"/>
              <w:numPr>
                <w:ilvl w:val="0"/>
                <w:numId w:val="6"/>
              </w:numPr>
              <w:spacing w:line="360" w:lineRule="auto"/>
              <w:ind w:right="81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352882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lastRenderedPageBreak/>
              <w:t>Simülasyon laboratuvarı;</w:t>
            </w:r>
            <w:r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r w:rsidR="00B9173F"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İçinde yüksek gerçeklikli simüla</w:t>
            </w:r>
            <w:r w:rsidR="00061A0B"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törü</w:t>
            </w:r>
            <w:r w:rsidR="00B9173F"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, kamera</w:t>
            </w:r>
            <w:r w:rsidR="00352882"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yı</w:t>
            </w:r>
            <w:r w:rsidR="00B9173F"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hasta </w:t>
            </w:r>
            <w:r w:rsidR="00061A0B"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b</w:t>
            </w:r>
            <w:r w:rsidR="00B9173F"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aşı monitörü, yatak, yatak başı paneli, </w:t>
            </w:r>
            <w:proofErr w:type="spellStart"/>
            <w:r w:rsidR="00B9173F"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etejer</w:t>
            </w:r>
            <w:proofErr w:type="spellEnd"/>
            <w:r w:rsidR="00B9173F"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serum askısını içeren </w:t>
            </w:r>
            <w:proofErr w:type="gramStart"/>
            <w:r w:rsidR="00B9173F"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simülasyon</w:t>
            </w:r>
            <w:proofErr w:type="gramEnd"/>
            <w:r w:rsidR="00B9173F"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odası ve bilgisayar ile bilgisayar donanımları, ses sistemini içeren kontrol odasını içeren alanı, </w:t>
            </w:r>
          </w:p>
          <w:p w:rsidR="00AF274C" w:rsidRPr="00352882" w:rsidRDefault="00A940DA" w:rsidP="00AF274C">
            <w:pPr>
              <w:pStyle w:val="ListeParagraf"/>
              <w:numPr>
                <w:ilvl w:val="0"/>
                <w:numId w:val="6"/>
              </w:numPr>
              <w:spacing w:line="360" w:lineRule="auto"/>
              <w:ind w:right="81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352882">
              <w:rPr>
                <w:rFonts w:ascii="Times New Roman" w:eastAsia="Calibri" w:hAnsi="Times New Roman" w:cs="Times New Roman"/>
                <w:b/>
                <w:kern w:val="2"/>
                <w14:ligatures w14:val="standardContextual"/>
              </w:rPr>
              <w:t>Beceri laboratuvarı;</w:t>
            </w:r>
            <w:r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İçinde </w:t>
            </w:r>
            <w:r w:rsidR="00352882"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düşük</w:t>
            </w:r>
            <w:r w:rsidR="00B9173F" w:rsidRPr="00352882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gerçeklikli maket, yatak başı paneli, yatak, tekerlekli sandalye, masa ve tabureleri içeren alanı,</w:t>
            </w:r>
          </w:p>
          <w:p w:rsidR="00AF274C" w:rsidRPr="002A4593" w:rsidRDefault="00A940DA" w:rsidP="00AF274C">
            <w:pPr>
              <w:pStyle w:val="ListeParagraf"/>
              <w:numPr>
                <w:ilvl w:val="0"/>
                <w:numId w:val="6"/>
              </w:numPr>
              <w:spacing w:line="360" w:lineRule="auto"/>
              <w:ind w:right="81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Hasta bakım mankeni: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İnsan anatomik yapısına uygun olarak tasarlanan ve Hemşirelik Fakültesi öğrencilerinin hemşirelik becerileri öğretiminde kullanılacak parça ve tüm vücut mankenlerini,</w:t>
            </w:r>
          </w:p>
          <w:p w:rsidR="00AF274C" w:rsidRPr="002A4593" w:rsidRDefault="00A940DA" w:rsidP="00AF274C">
            <w:pPr>
              <w:pStyle w:val="ListeParagraf"/>
              <w:numPr>
                <w:ilvl w:val="0"/>
                <w:numId w:val="6"/>
              </w:numPr>
              <w:spacing w:line="360" w:lineRule="auto"/>
              <w:ind w:right="81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Tıbbi atık: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Uygulamalar esnasında hasta kaynaklı olabileceği varsayılan uygulama mankenine temas eden eldiven, </w:t>
            </w:r>
            <w:proofErr w:type="spellStart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spanç</w:t>
            </w:r>
            <w:proofErr w:type="spellEnd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nazogastrik</w:t>
            </w:r>
            <w:proofErr w:type="spellEnd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sonda, </w:t>
            </w:r>
            <w:proofErr w:type="spellStart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foley</w:t>
            </w:r>
            <w:proofErr w:type="spellEnd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sonda, </w:t>
            </w:r>
            <w:proofErr w:type="spellStart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aspirasyon</w:t>
            </w:r>
            <w:proofErr w:type="spellEnd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sondası ve diğer ilaç uygulamalarında kullanılan iğne ucu çıkarılmış enjektör, </w:t>
            </w:r>
            <w:proofErr w:type="spellStart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flakon</w:t>
            </w:r>
            <w:proofErr w:type="spellEnd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, serum setleri, vb. atıkları,</w:t>
            </w:r>
          </w:p>
          <w:p w:rsidR="00AF274C" w:rsidRPr="002A4593" w:rsidRDefault="00A940DA" w:rsidP="00AF274C">
            <w:pPr>
              <w:pStyle w:val="ListeParagraf"/>
              <w:numPr>
                <w:ilvl w:val="0"/>
                <w:numId w:val="6"/>
              </w:numPr>
              <w:spacing w:line="360" w:lineRule="auto"/>
              <w:ind w:right="81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Evsel nitelikteki atıklar: 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Beceri uygulamaları sonrasında </w:t>
            </w:r>
            <w:proofErr w:type="spellStart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enfekte</w:t>
            </w:r>
            <w:proofErr w:type="spellEnd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olmadığı varsayılan; ambalaj malzemeleri, şişe vb. malzemelerden oluşan atıkları,</w:t>
            </w:r>
          </w:p>
          <w:p w:rsidR="00A940DA" w:rsidRPr="0013693B" w:rsidRDefault="00A940DA" w:rsidP="0013693B">
            <w:pPr>
              <w:pStyle w:val="ListeParagraf"/>
              <w:numPr>
                <w:ilvl w:val="0"/>
                <w:numId w:val="6"/>
              </w:numPr>
              <w:spacing w:line="360" w:lineRule="auto"/>
              <w:ind w:right="81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Delici/kesici atıklar: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Beceri uygulamaları esnasında </w:t>
            </w:r>
            <w:proofErr w:type="spellStart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bistüri</w:t>
            </w:r>
            <w:proofErr w:type="spellEnd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iğne ucu, cam </w:t>
            </w:r>
            <w:proofErr w:type="spellStart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v.b</w:t>
            </w:r>
            <w:proofErr w:type="spellEnd"/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gibi delici ve kesici materyalleri tanımlar.</w:t>
            </w:r>
          </w:p>
          <w:p w:rsidR="00A940DA" w:rsidRPr="002A4593" w:rsidRDefault="00A940DA" w:rsidP="00A940DA">
            <w:pPr>
              <w:spacing w:line="360" w:lineRule="auto"/>
              <w:ind w:right="81" w:firstLine="147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14:ligatures w14:val="standardContextual"/>
              </w:rPr>
              <w:t>İKİNCİ BÖLÜM</w:t>
            </w:r>
          </w:p>
          <w:p w:rsidR="00A940DA" w:rsidRPr="002A4593" w:rsidRDefault="00A940DA" w:rsidP="00A940DA">
            <w:pPr>
              <w:spacing w:line="360" w:lineRule="auto"/>
              <w:ind w:right="81" w:firstLine="147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14:ligatures w14:val="standardContextual"/>
              </w:rPr>
              <w:t>LABORATUVAR UYGULAMASININ PLANLANMASI</w:t>
            </w:r>
            <w:r w:rsidR="00DE79E9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14:ligatures w14:val="standardContextual"/>
              </w:rPr>
              <w:t xml:space="preserve"> VE</w:t>
            </w: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14:ligatures w14:val="standardContextual"/>
              </w:rPr>
              <w:t xml:space="preserve"> </w:t>
            </w:r>
            <w:r w:rsidR="00DE79E9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14:ligatures w14:val="standardContextual"/>
              </w:rPr>
              <w:t xml:space="preserve">YÜRÜTÜLMESİNE </w:t>
            </w: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14:ligatures w14:val="standardContextual"/>
              </w:rPr>
              <w:t>İLİŞKİN ESASLAR</w:t>
            </w:r>
          </w:p>
          <w:p w:rsidR="00A940DA" w:rsidRPr="002A4593" w:rsidRDefault="00A940DA" w:rsidP="00A940DA">
            <w:pPr>
              <w:spacing w:line="360" w:lineRule="auto"/>
              <w:ind w:right="81" w:firstLine="147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6.1. Laboratuvar Uygulamalarından Sorumlu Kişiler</w:t>
            </w:r>
          </w:p>
          <w:p w:rsidR="00A940DA" w:rsidRPr="002A4593" w:rsidRDefault="00A940DA" w:rsidP="00A940DA">
            <w:pPr>
              <w:spacing w:line="360" w:lineRule="auto"/>
              <w:ind w:right="81" w:firstLine="14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Madde 6. </w:t>
            </w: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Bu yönergenin uygulanmasından laboratuvarı kullanan tüm öğretim elemanları ve öğrenciler sorumludur.</w:t>
            </w: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  <w:p w:rsidR="00A940DA" w:rsidRPr="002A4593" w:rsidRDefault="00A940DA" w:rsidP="00A940DA">
            <w:pPr>
              <w:spacing w:line="360" w:lineRule="auto"/>
              <w:ind w:right="81" w:firstLine="147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6.2. Laboratuvar Uygulamalarında Kullanılacak Çizelgeler</w:t>
            </w:r>
          </w:p>
          <w:p w:rsidR="00A940DA" w:rsidRPr="002A4593" w:rsidRDefault="00A940DA" w:rsidP="00A940DA">
            <w:pPr>
              <w:numPr>
                <w:ilvl w:val="0"/>
                <w:numId w:val="4"/>
              </w:numPr>
              <w:spacing w:line="360" w:lineRule="auto"/>
              <w:ind w:right="81" w:firstLine="147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Simülasyon Laboratuvarı Kullanımı Talep Formu</w:t>
            </w:r>
          </w:p>
          <w:p w:rsidR="00A940DA" w:rsidRPr="002A4593" w:rsidRDefault="00325A83" w:rsidP="00A940DA">
            <w:pPr>
              <w:numPr>
                <w:ilvl w:val="0"/>
                <w:numId w:val="4"/>
              </w:numPr>
              <w:spacing w:line="360" w:lineRule="auto"/>
              <w:ind w:right="81" w:firstLine="147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Simülasyon Laboratuvar</w:t>
            </w:r>
            <w:r w:rsid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lar</w:t>
            </w:r>
            <w:r w:rsidR="00A940DA"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ı Kullanım Sözleşmesi</w:t>
            </w:r>
          </w:p>
          <w:p w:rsidR="00420940" w:rsidRPr="002A4593" w:rsidRDefault="00A940DA" w:rsidP="00420940">
            <w:pPr>
              <w:numPr>
                <w:ilvl w:val="0"/>
                <w:numId w:val="4"/>
              </w:numPr>
              <w:spacing w:before="240" w:line="360" w:lineRule="auto"/>
              <w:ind w:right="81" w:firstLine="147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Beceri Laboratuvarı Serbest Kullanım Çizelgesi</w:t>
            </w:r>
          </w:p>
          <w:p w:rsidR="00420940" w:rsidRPr="002A4593" w:rsidRDefault="00420940" w:rsidP="00420940">
            <w:pPr>
              <w:spacing w:before="240" w:line="276" w:lineRule="auto"/>
              <w:ind w:left="867" w:right="81"/>
              <w:contextualSpacing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  <w:p w:rsidR="002A4593" w:rsidRDefault="00A940DA" w:rsidP="00DB19E8">
            <w:pPr>
              <w:spacing w:line="360" w:lineRule="auto"/>
              <w:ind w:right="81" w:firstLine="14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6.3. Laboratuvar Uygulamasının Planlanması</w:t>
            </w:r>
          </w:p>
          <w:p w:rsidR="002A4593" w:rsidRPr="0013693B" w:rsidRDefault="00A940DA" w:rsidP="009A4E65">
            <w:pPr>
              <w:pStyle w:val="ListeParagraf"/>
              <w:numPr>
                <w:ilvl w:val="0"/>
                <w:numId w:val="11"/>
              </w:numPr>
              <w:spacing w:line="360" w:lineRule="auto"/>
              <w:ind w:right="81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Beceri laboratuvarları</w:t>
            </w:r>
            <w:r w:rsidR="00B3678A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,</w:t>
            </w:r>
            <w:r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r w:rsidR="00B3678A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temel hemşirelik bakımındaki becerileri ve </w:t>
            </w:r>
            <w:r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hemşirelik eğitimi </w:t>
            </w:r>
            <w:r w:rsidR="00420940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kapsamındaki uygulamaları </w:t>
            </w:r>
            <w:r w:rsidR="00B3678A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öğrencilerin öğrenmesi ve maket üzerinde gerçekleştirmesine olanak sağlayacak niteliktedir</w:t>
            </w:r>
            <w:r w:rsidR="00420940" w:rsidRPr="0013693B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. </w:t>
            </w:r>
          </w:p>
          <w:p w:rsidR="00420940" w:rsidRDefault="0027311F" w:rsidP="005333DA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</w:pP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(Eğitim ve b</w:t>
            </w:r>
            <w:r w:rsidR="00420940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ilimsel araştırmalar</w:t>
            </w: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)</w:t>
            </w:r>
            <w:r w:rsidR="00420940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 </w:t>
            </w: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Simülasyon laboratuvarı</w:t>
            </w:r>
            <w:r w:rsidR="00420940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 kullanıma yönelik talepler</w:t>
            </w: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,</w:t>
            </w:r>
            <w:r w:rsidR="00420940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 </w:t>
            </w:r>
            <w:r w:rsidR="009A4E65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kullanılması planlanan tarihten </w:t>
            </w:r>
            <w:r w:rsidR="00420940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en az bir ay önce yazılı olarak Fakülte </w:t>
            </w:r>
            <w:proofErr w:type="spellStart"/>
            <w:r w:rsidR="00420940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Dekanlığı’na</w:t>
            </w:r>
            <w:proofErr w:type="spellEnd"/>
            <w:r w:rsidR="00420940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 bildirilir.</w:t>
            </w:r>
            <w:r w:rsidR="009A4E65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 Simülasyon laboratuvarı</w:t>
            </w:r>
            <w:r w:rsidR="006F06DB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nı kullanmayı talep eden öğretim elemanı ile </w:t>
            </w:r>
            <w:r w:rsidR="005333DA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Laboratuvar Koordinatörlüğü</w:t>
            </w: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 arasında</w:t>
            </w:r>
            <w:r w:rsidR="009A4E65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 </w:t>
            </w: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lastRenderedPageBreak/>
              <w:t>“Simülasyon Laboratuvar</w:t>
            </w:r>
            <w:r w:rsid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lar</w:t>
            </w: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ı Kullanım Sözleşmesi” </w:t>
            </w:r>
            <w:r w:rsidR="009A4E65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2 nüsha olacak şekilde her kullanım öncesi ve sonrası imzalanır.</w:t>
            </w:r>
          </w:p>
          <w:p w:rsidR="0013693B" w:rsidRPr="0013693B" w:rsidRDefault="0013693B" w:rsidP="0013693B">
            <w:pPr>
              <w:pStyle w:val="ListeParagraf"/>
              <w:spacing w:line="360" w:lineRule="auto"/>
              <w:ind w:left="725"/>
              <w:jc w:val="both"/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</w:pPr>
          </w:p>
          <w:p w:rsidR="00420940" w:rsidRPr="002A4593" w:rsidRDefault="00420940" w:rsidP="00420940">
            <w:pPr>
              <w:pStyle w:val="ListeParagraf"/>
              <w:spacing w:line="360" w:lineRule="auto"/>
              <w:ind w:left="0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 6.4. Laboratuvar Uygulamasının Yürütülmesi</w:t>
            </w:r>
          </w:p>
          <w:p w:rsidR="00420940" w:rsidRPr="002A4593" w:rsidRDefault="00420940" w:rsidP="0089722C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Her öğrenci ve öğretim elemanı laboratuvarda bulunan maket ve/veya demirbaş malzemelere zarar vermeyecek şekilde kullanmaktan sorumludur. </w:t>
            </w:r>
          </w:p>
          <w:p w:rsidR="00420940" w:rsidRPr="0013693B" w:rsidRDefault="00420940" w:rsidP="006F06DB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Laboratuvardaki d</w:t>
            </w:r>
            <w:r w:rsidR="006F06DB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emirbaş malzemeler ile</w:t>
            </w:r>
            <w:r w:rsidR="00E10211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 cihazların</w:t>
            </w:r>
            <w:r w:rsidR="006F06DB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 </w:t>
            </w: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aralıklı takibi</w:t>
            </w:r>
            <w:r w:rsidR="006F06DB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 ve kayıtların Laboratuvar Koordinatörlüğüne iletilmesi ilgili Anabilim Dalı öğretim elemanlarının </w:t>
            </w: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sorumluluğundadır.</w:t>
            </w:r>
          </w:p>
          <w:p w:rsidR="00420940" w:rsidRPr="002A4593" w:rsidRDefault="00420940" w:rsidP="0089722C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Laboratuvardaki demirbaş malzemeler ve cihazların periyodik bakım ve </w:t>
            </w:r>
            <w:proofErr w:type="gramStart"/>
            <w:r w:rsidRPr="002A4593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kalibrasyonlarının</w:t>
            </w:r>
            <w:proofErr w:type="gramEnd"/>
            <w:r w:rsidRPr="002A4593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 yapılması, </w:t>
            </w: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malzemelerin tedari</w:t>
            </w:r>
            <w:r w:rsidR="003F5C52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k edilmesi </w:t>
            </w: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Hemşirelik </w:t>
            </w:r>
            <w:r w:rsidRPr="002A4593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Fakültesi Dekanlığının sorumluluğundadır.</w:t>
            </w:r>
          </w:p>
          <w:p w:rsidR="00420940" w:rsidRPr="005022A2" w:rsidRDefault="00420940" w:rsidP="0089722C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E10211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Laboratuvarların kullanımı esnasında teknik bir arıza durumunda ilgili öğretim elemanı arızayı, Arıza Bildirim Formu ile </w:t>
            </w:r>
            <w:r w:rsidR="005022A2" w:rsidRPr="00E10211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Fakülte Dekanlığına </w:t>
            </w:r>
            <w:r w:rsidRPr="00E10211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bildirir.</w:t>
            </w:r>
          </w:p>
          <w:p w:rsidR="005022A2" w:rsidRPr="0013693B" w:rsidRDefault="005022A2" w:rsidP="005022A2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Laboratuvarda öğrenciler tüm uygulamaları (serbest çalışma saati hariç) öğretim elemanı rehberliğinde gerçekleştirilir. </w:t>
            </w:r>
          </w:p>
          <w:p w:rsidR="00420940" w:rsidRPr="002A4593" w:rsidRDefault="00420940" w:rsidP="0089722C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Laboratuvarların kullanımı esnasında öğrencilerin, öğretim elemanlarının ve çalışan personellerin zarar görmemesi için </w:t>
            </w:r>
            <w:r w:rsidR="00E10211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ü</w:t>
            </w:r>
            <w:r w:rsidRPr="002A4593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niversal güvenlik önlemleri alınır.</w:t>
            </w:r>
            <w:r w:rsidR="00E10211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 </w:t>
            </w:r>
          </w:p>
          <w:p w:rsidR="00420940" w:rsidRPr="005022A2" w:rsidRDefault="00420940" w:rsidP="0089722C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2A4593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Laboratuvarda yer alan eğitim mankenleri yönergelerine uygun şekilde </w:t>
            </w: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kullanıl</w:t>
            </w:r>
            <w:r w:rsidR="005022A2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ır.</w:t>
            </w:r>
          </w:p>
          <w:p w:rsidR="00F26EA7" w:rsidRPr="00B41F34" w:rsidRDefault="005022A2" w:rsidP="0013693B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</w:pP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Laboratuvarı kullanan tüm öğrenci ve öğretim elemanları </w:t>
            </w:r>
            <w:r w:rsid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“</w:t>
            </w:r>
            <w:r w:rsidR="0013693B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Laboratuvarda Uyulması Gereken Kurallar (Öğretim Elemanı İçin)</w:t>
            </w:r>
            <w:r w:rsid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” </w:t>
            </w: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ve </w:t>
            </w:r>
            <w:r w:rsid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“</w:t>
            </w:r>
            <w:r w:rsidR="0013693B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Laboratuvarda Uyulması Gereken Kurallar (</w:t>
            </w:r>
            <w:r w:rsid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Öğrenciler</w:t>
            </w:r>
            <w:r w:rsidR="0013693B"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 İçin)</w:t>
            </w:r>
            <w:r w:rsid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 xml:space="preserve">” da </w:t>
            </w:r>
            <w:r w:rsidRPr="0013693B">
              <w:rPr>
                <w:rFonts w:ascii="Times New Roman" w:eastAsia="Calibri" w:hAnsi="Times New Roman" w:cs="Times New Roman"/>
                <w:bCs/>
                <w:kern w:val="2"/>
                <w14:ligatures w14:val="standardContextual"/>
              </w:rPr>
              <w:t>yer alan kurallara uymakla yükümlüdür.</w:t>
            </w:r>
          </w:p>
        </w:tc>
      </w:tr>
      <w:tr w:rsidR="00F26EA7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F26EA7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26EA7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 Koordinatörlüğü</w:t>
            </w:r>
          </w:p>
          <w:p w:rsidR="00A940DA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0DA" w:rsidRPr="003408E6" w:rsidRDefault="00A940DA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:rsidR="008E1575" w:rsidRDefault="008E1575" w:rsidP="008E1575">
      <w:pPr>
        <w:rPr>
          <w:rFonts w:ascii="Times New Roman" w:hAnsi="Times New Roman" w:cs="Times New Roman"/>
          <w:sz w:val="24"/>
        </w:rPr>
      </w:pPr>
    </w:p>
    <w:sectPr w:rsidR="008E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4" w15:restartNumberingAfterBreak="0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8" w15:restartNumberingAfterBreak="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" w15:restartNumberingAfterBreak="0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57"/>
    <w:rsid w:val="00061A0B"/>
    <w:rsid w:val="000A7EF0"/>
    <w:rsid w:val="000B047D"/>
    <w:rsid w:val="001149B1"/>
    <w:rsid w:val="0013693B"/>
    <w:rsid w:val="001765DA"/>
    <w:rsid w:val="00183CD8"/>
    <w:rsid w:val="0027311F"/>
    <w:rsid w:val="002A4593"/>
    <w:rsid w:val="002F6916"/>
    <w:rsid w:val="00325A83"/>
    <w:rsid w:val="00352882"/>
    <w:rsid w:val="003A12D5"/>
    <w:rsid w:val="003A40BE"/>
    <w:rsid w:val="003F5C52"/>
    <w:rsid w:val="00420940"/>
    <w:rsid w:val="004922D9"/>
    <w:rsid w:val="005022A2"/>
    <w:rsid w:val="005333DA"/>
    <w:rsid w:val="0054147A"/>
    <w:rsid w:val="00567BBE"/>
    <w:rsid w:val="00591A85"/>
    <w:rsid w:val="005921B9"/>
    <w:rsid w:val="005A1AB0"/>
    <w:rsid w:val="005B65FB"/>
    <w:rsid w:val="005C14CC"/>
    <w:rsid w:val="006203BB"/>
    <w:rsid w:val="006206E9"/>
    <w:rsid w:val="00654355"/>
    <w:rsid w:val="006F06DB"/>
    <w:rsid w:val="0070189E"/>
    <w:rsid w:val="00783AAC"/>
    <w:rsid w:val="0079127B"/>
    <w:rsid w:val="007E5231"/>
    <w:rsid w:val="007F3AF5"/>
    <w:rsid w:val="0089722C"/>
    <w:rsid w:val="008E1575"/>
    <w:rsid w:val="0096750E"/>
    <w:rsid w:val="00986182"/>
    <w:rsid w:val="009A4E65"/>
    <w:rsid w:val="009E551B"/>
    <w:rsid w:val="00A213A9"/>
    <w:rsid w:val="00A316E9"/>
    <w:rsid w:val="00A562FB"/>
    <w:rsid w:val="00A56357"/>
    <w:rsid w:val="00A940DA"/>
    <w:rsid w:val="00AA794D"/>
    <w:rsid w:val="00AF274C"/>
    <w:rsid w:val="00B2467A"/>
    <w:rsid w:val="00B3678A"/>
    <w:rsid w:val="00B40AFD"/>
    <w:rsid w:val="00B41F34"/>
    <w:rsid w:val="00B43290"/>
    <w:rsid w:val="00B9173F"/>
    <w:rsid w:val="00BB5672"/>
    <w:rsid w:val="00BC1405"/>
    <w:rsid w:val="00C235F0"/>
    <w:rsid w:val="00C47CB9"/>
    <w:rsid w:val="00C47EE8"/>
    <w:rsid w:val="00CE60BE"/>
    <w:rsid w:val="00D05AF0"/>
    <w:rsid w:val="00DB19E8"/>
    <w:rsid w:val="00DE79E9"/>
    <w:rsid w:val="00E10211"/>
    <w:rsid w:val="00EB7819"/>
    <w:rsid w:val="00EC3D5F"/>
    <w:rsid w:val="00F02E8C"/>
    <w:rsid w:val="00F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BFAC"/>
  <w15:docId w15:val="{79545411-2841-44F9-ADC4-007AE2E4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Asus</cp:lastModifiedBy>
  <cp:revision>2</cp:revision>
  <dcterms:created xsi:type="dcterms:W3CDTF">2024-10-23T11:58:00Z</dcterms:created>
  <dcterms:modified xsi:type="dcterms:W3CDTF">2024-10-23T11:58:00Z</dcterms:modified>
</cp:coreProperties>
</file>